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rPr>
          <w:rFonts w:ascii="Inter" w:cs="Inter" w:eastAsia="Inter" w:hAnsi="Inter"/>
          <w:b/>
          <w:bCs/>
          <w:color w:val="5B21B6"/>
          <w:sz w:val="40"/>
          <w:szCs w:val="40"/>
        </w:rPr>
        <w:t xml:space="preserve">AI Ethics Code</w:t>
      </w:r>
    </w:p>
    <w:p>
      <w:pPr>
        <w:spacing w:after="120"/>
        <w:jc w:val="center"/>
      </w:pPr>
      <w:r>
        <w:rPr>
          <w:rFonts w:ascii="Inter" w:cs="Inter" w:eastAsia="Inter" w:hAnsi="Inter"/>
          <w:color w:val="4B5563"/>
          <w:sz w:val="24"/>
          <w:szCs w:val="24"/>
        </w:rPr>
        <w:t xml:space="preserve">[ORGANIZATION NAME]</w:t>
      </w:r>
    </w:p>
    <w:p>
      <w:pPr>
        <w:spacing w:after="200"/>
      </w:pPr>
    </w:p>
    <w:p>
      <w:pPr>
        <w:pStyle w:val="Heading1"/>
        <w:spacing w:after="120" w:before="240"/>
      </w:pPr>
      <w:r>
        <w:rPr>
          <w:rFonts w:ascii="Inter" w:cs="Inter" w:eastAsia="Inter" w:hAnsi="Inter"/>
          <w:b/>
          <w:bCs/>
          <w:color w:val="5B21B6"/>
          <w:sz w:val="28"/>
          <w:szCs w:val="28"/>
        </w:rPr>
        <w:t xml:space="preserve">1. 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5B21B6" w:color="5B21B6" w:val="solid"/>
          </w:tcPr>
          <w:p>
            <w:pPr>
              <w:spacing w:after="40" w:before="40"/>
            </w:pPr>
            <w:r>
              <w:rPr>
                <w:rFonts w:ascii="Inter" w:cs="Inter" w:eastAsia="Inter" w:hAnsi="Inter"/>
                <w:b/>
                <w:bCs/>
                <w:color w:val="FFFFFF"/>
                <w:sz w:val="20"/>
                <w:szCs w:val="20"/>
              </w:rPr>
              <w:t xml:space="preserve">Field</w:t>
            </w:r>
          </w:p>
        </w:tc>
        <w:tc>
          <w:tcPr>
            <w:shd w:fill="5B21B6" w:color="5B21B6" w:val="solid"/>
          </w:tcPr>
          <w:p>
            <w:pPr>
              <w:spacing w:after="40" w:before="40"/>
            </w:pPr>
            <w:r>
              <w:rPr>
                <w:rFonts w:ascii="Inter" w:cs="Inter" w:eastAsia="Inter" w:hAnsi="Inter"/>
                <w:b/>
                <w:bCs/>
                <w:color w:val="FFFFFF"/>
                <w:sz w:val="20"/>
                <w:szCs w:val="20"/>
              </w:rPr>
              <w:t xml:space="preserve">Value</w:t>
            </w:r>
          </w:p>
        </w:tc>
      </w:tr>
      <w:tr>
        <w:tc>
          <w:p>
            <w:pPr>
              <w:spacing w:after="40" w:before="40"/>
            </w:pPr>
            <w:r>
              <w:rPr>
                <w:rFonts w:ascii="Inter" w:cs="Inter" w:eastAsia="Inter" w:hAnsi="Inter"/>
                <w:b w:val="false"/>
                <w:bCs w:val="false"/>
                <w:sz w:val="20"/>
                <w:szCs w:val="20"/>
              </w:rPr>
              <w:t xml:space="preserve">Document Title</w:t>
            </w:r>
          </w:p>
        </w:tc>
        <w:tc>
          <w:p>
            <w:pPr>
              <w:spacing w:after="40" w:before="40"/>
            </w:pPr>
            <w:r>
              <w:rPr>
                <w:rFonts w:ascii="Inter" w:cs="Inter" w:eastAsia="Inter" w:hAnsi="Inter"/>
                <w:b w:val="false"/>
                <w:bCs w:val="false"/>
                <w:sz w:val="20"/>
                <w:szCs w:val="20"/>
              </w:rPr>
              <w:t xml:space="preserve">AI Ethics Code</w:t>
            </w:r>
          </w:p>
        </w:tc>
      </w:tr>
      <w:tr>
        <w:tc>
          <w:p>
            <w:pPr>
              <w:spacing w:after="40" w:before="40"/>
            </w:pPr>
            <w:r>
              <w:rPr>
                <w:rFonts w:ascii="Inter" w:cs="Inter" w:eastAsia="Inter" w:hAnsi="Inter"/>
                <w:b w:val="false"/>
                <w:bCs w:val="false"/>
                <w:sz w:val="20"/>
                <w:szCs w:val="20"/>
              </w:rPr>
              <w:t xml:space="preserve">Version</w:t>
            </w:r>
          </w:p>
        </w:tc>
        <w:tc>
          <w:p>
            <w:pPr>
              <w:spacing w:after="40" w:before="40"/>
            </w:pPr>
            <w:r>
              <w:rPr>
                <w:rFonts w:ascii="Inter" w:cs="Inter" w:eastAsia="Inter" w:hAnsi="Inter"/>
                <w:b w:val="false"/>
                <w:bCs w:val="false"/>
                <w:sz w:val="20"/>
                <w:szCs w:val="20"/>
              </w:rPr>
              <w:t xml:space="preserve">[1.0]</w:t>
            </w:r>
          </w:p>
        </w:tc>
      </w:tr>
      <w:tr>
        <w:tc>
          <w:p>
            <w:pPr>
              <w:spacing w:after="40" w:before="40"/>
            </w:pPr>
            <w:r>
              <w:rPr>
                <w:rFonts w:ascii="Inter" w:cs="Inter" w:eastAsia="Inter" w:hAnsi="Inter"/>
                <w:b w:val="false"/>
                <w:bCs w:val="false"/>
                <w:sz w:val="20"/>
                <w:szCs w:val="20"/>
              </w:rPr>
              <w:t xml:space="preserve">Owner</w:t>
            </w:r>
          </w:p>
        </w:tc>
        <w:tc>
          <w:p>
            <w:pPr>
              <w:spacing w:after="40" w:before="40"/>
            </w:pPr>
            <w:r>
              <w:rPr>
                <w:rFonts w:ascii="Inter" w:cs="Inter" w:eastAsia="Inter" w:hAnsi="Inter"/>
                <w:b w:val="false"/>
                <w:bCs w:val="false"/>
                <w:sz w:val="20"/>
                <w:szCs w:val="20"/>
              </w:rPr>
              <w:t xml:space="preserve">[ROLE / NAME]</w:t>
            </w:r>
          </w:p>
        </w:tc>
      </w:tr>
      <w:tr>
        <w:tc>
          <w:p>
            <w:pPr>
              <w:spacing w:after="40" w:before="40"/>
            </w:pPr>
            <w:r>
              <w:rPr>
                <w:rFonts w:ascii="Inter" w:cs="Inter" w:eastAsia="Inter" w:hAnsi="Inter"/>
                <w:b w:val="false"/>
                <w:bCs w:val="false"/>
                <w:sz w:val="20"/>
                <w:szCs w:val="20"/>
              </w:rPr>
              <w:t xml:space="preserve">Date</w:t>
            </w:r>
          </w:p>
        </w:tc>
        <w:tc>
          <w:p>
            <w:pPr>
              <w:spacing w:after="40" w:before="40"/>
            </w:pPr>
            <w:r>
              <w:rPr>
                <w:rFonts w:ascii="Inter" w:cs="Inter" w:eastAsia="Inter" w:hAnsi="Inter"/>
                <w:b w:val="false"/>
                <w:bCs w:val="false"/>
                <w:sz w:val="20"/>
                <w:szCs w:val="20"/>
              </w:rPr>
              <w:t xml:space="preserve">[YYYY-MM-DD]</w:t>
            </w:r>
          </w:p>
        </w:tc>
      </w:tr>
      <w:tr>
        <w:tc>
          <w:p>
            <w:pPr>
              <w:spacing w:after="40" w:before="40"/>
            </w:pPr>
            <w:r>
              <w:rPr>
                <w:rFonts w:ascii="Inter" w:cs="Inter" w:eastAsia="Inter" w:hAnsi="Inter"/>
                <w:b w:val="false"/>
                <w:bCs w:val="false"/>
                <w:sz w:val="20"/>
                <w:szCs w:val="20"/>
              </w:rPr>
              <w:t xml:space="preserve">Classification</w:t>
            </w:r>
          </w:p>
        </w:tc>
        <w:tc>
          <w:p>
            <w:pPr>
              <w:spacing w:after="40" w:before="40"/>
            </w:pPr>
            <w:r>
              <w:rPr>
                <w:rFonts w:ascii="Inter" w:cs="Inter" w:eastAsia="Inter" w:hAnsi="Inter"/>
                <w:b w:val="false"/>
                <w:bCs w:val="false"/>
                <w:sz w:val="20"/>
                <w:szCs w:val="20"/>
              </w:rPr>
              <w:t xml:space="preserve">[INTERNAL / CONFIDENTIAL]</w:t>
            </w:r>
          </w:p>
        </w:tc>
      </w:tr>
      <w:tr>
        <w:tc>
          <w:p>
            <w:pPr>
              <w:spacing w:after="40" w:before="40"/>
            </w:pPr>
            <w:r>
              <w:rPr>
                <w:rFonts w:ascii="Inter" w:cs="Inter" w:eastAsia="Inter" w:hAnsi="Inter"/>
                <w:b w:val="false"/>
                <w:bCs w:val="false"/>
                <w:sz w:val="20"/>
                <w:szCs w:val="20"/>
              </w:rPr>
              <w:t xml:space="preserve">Next Review Date</w:t>
            </w:r>
          </w:p>
        </w:tc>
        <w:tc>
          <w:p>
            <w:pPr>
              <w:spacing w:after="40" w:before="40"/>
            </w:pPr>
            <w:r>
              <w:rPr>
                <w:rFonts w:ascii="Inter" w:cs="Inter" w:eastAsia="Inter" w:hAnsi="Inter"/>
                <w:b w:val="false"/>
                <w:bCs w:val="false"/>
                <w:sz w:val="20"/>
                <w:szCs w:val="20"/>
              </w:rPr>
              <w:t xml:space="preserve">[YYYY-MM-DD — at most 12 months out]</w:t>
            </w:r>
          </w:p>
        </w:tc>
      </w:tr>
    </w:tbl>
    <w:p>
      <w:pPr>
        <w:spacing w:after="200"/>
      </w:pPr>
    </w:p>
    <w:p>
      <w:pPr>
        <w:spacing w:after="80"/>
      </w:pPr>
      <w:r>
        <w:rPr>
          <w:rFonts w:ascii="Inter" w:cs="Inter" w:eastAsia="Inter" w:hAnsi="Inter"/>
          <w:b/>
          <w:bCs/>
          <w:sz w:val="20"/>
          <w:szCs w:val="20"/>
        </w:rPr>
        <w:t xml:space="preserve">Approvals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fill="5B21B6" w:color="5B21B6" w:val="solid"/>
          </w:tcPr>
          <w:p>
            <w:pPr>
              <w:spacing w:after="40" w:before="40"/>
            </w:pPr>
            <w:r>
              <w:rPr>
                <w:rFonts w:ascii="Inter" w:cs="Inter" w:eastAsia="Inter" w:hAnsi="Inter"/>
                <w:b/>
                <w:bCs/>
                <w:color w:val="FFFFFF"/>
                <w:sz w:val="20"/>
                <w:szCs w:val="20"/>
              </w:rPr>
              <w:t xml:space="preserve">Role</w:t>
            </w:r>
          </w:p>
        </w:tc>
        <w:tc>
          <w:tcPr>
            <w:shd w:fill="5B21B6" w:color="5B21B6" w:val="solid"/>
          </w:tcPr>
          <w:p>
            <w:pPr>
              <w:spacing w:after="40" w:before="40"/>
            </w:pPr>
            <w:r>
              <w:rPr>
                <w:rFonts w:ascii="Inter" w:cs="Inter" w:eastAsia="Inter" w:hAnsi="Inter"/>
                <w:b/>
                <w:bCs/>
                <w:color w:val="FFFFFF"/>
                <w:sz w:val="20"/>
                <w:szCs w:val="20"/>
              </w:rPr>
              <w:t xml:space="preserve">Name</w:t>
            </w:r>
          </w:p>
        </w:tc>
        <w:tc>
          <w:tcPr>
            <w:shd w:fill="5B21B6" w:color="5B21B6" w:val="solid"/>
          </w:tcPr>
          <w:p>
            <w:pPr>
              <w:spacing w:after="40" w:before="40"/>
            </w:pPr>
            <w:r>
              <w:rPr>
                <w:rFonts w:ascii="Inter" w:cs="Inter" w:eastAsia="Inter" w:hAnsi="Inter"/>
                <w:b/>
                <w:bCs/>
                <w:color w:val="FFFFFF"/>
                <w:sz w:val="20"/>
                <w:szCs w:val="20"/>
              </w:rPr>
              <w:t xml:space="preserve">Signature</w:t>
            </w:r>
          </w:p>
        </w:tc>
        <w:tc>
          <w:tcPr>
            <w:shd w:fill="5B21B6" w:color="5B21B6" w:val="solid"/>
          </w:tcPr>
          <w:p>
            <w:pPr>
              <w:spacing w:after="40" w:before="40"/>
            </w:pPr>
            <w:r>
              <w:rPr>
                <w:rFonts w:ascii="Inter" w:cs="Inter" w:eastAsia="Inter" w:hAnsi="Inter"/>
                <w:b/>
                <w:bCs/>
                <w:color w:val="FFFFFF"/>
                <w:sz w:val="20"/>
                <w:szCs w:val="20"/>
              </w:rPr>
              <w:t xml:space="preserve">Date</w:t>
            </w:r>
          </w:p>
        </w:tc>
      </w:tr>
      <w:tr>
        <w:tc>
          <w:p>
            <w:pPr>
              <w:spacing w:after="40" w:before="40"/>
            </w:pPr>
            <w:r>
              <w:rPr>
                <w:rFonts w:ascii="Inter" w:cs="Inter" w:eastAsia="Inter" w:hAnsi="Inter"/>
                <w:b w:val="false"/>
                <w:bCs w:val="false"/>
                <w:sz w:val="20"/>
                <w:szCs w:val="20"/>
              </w:rPr>
              <w:t xml:space="preserve">Executive Sponsor</w:t>
            </w:r>
          </w:p>
        </w:tc>
        <w:tc>
          <w:p>
            <w:pPr>
              <w:spacing w:after="40" w:before="40"/>
            </w:pPr>
            <w:r>
              <w:rPr>
                <w:rFonts w:ascii="Inter" w:cs="Inter" w:eastAsia="Inter" w:hAnsi="Inter"/>
                <w:b w:val="false"/>
                <w:bCs w:val="false"/>
                <w:sz w:val="20"/>
                <w:szCs w:val="20"/>
              </w:rPr>
              <w:t xml:space="preserve">[NAME]</w:t>
            </w:r>
          </w:p>
        </w:tc>
        <w:tc>
          <w:p>
            <w:pPr>
              <w:spacing w:after="40" w:before="40"/>
            </w:pPr>
            <w:r>
              <w:rPr>
                <w:rFonts w:ascii="Inter" w:cs="Inter" w:eastAsia="Inter" w:hAnsi="Inter"/>
                <w:b w:val="false"/>
                <w:bCs w:val="false"/>
                <w:sz w:val="20"/>
                <w:szCs w:val="20"/>
              </w:rPr>
              <w:t xml:space="preserve"/>
            </w:r>
          </w:p>
        </w:tc>
        <w:tc>
          <w:p>
            <w:pPr>
              <w:spacing w:after="40" w:before="40"/>
            </w:pPr>
            <w:r>
              <w:rPr>
                <w:rFonts w:ascii="Inter" w:cs="Inter" w:eastAsia="Inter" w:hAnsi="Inter"/>
                <w:b w:val="false"/>
                <w:bCs w:val="false"/>
                <w:sz w:val="20"/>
                <w:szCs w:val="20"/>
              </w:rPr>
              <w:t xml:space="preserve">[YYYY-MM-DD]</w:t>
            </w:r>
          </w:p>
        </w:tc>
      </w:tr>
      <w:tr>
        <w:tc>
          <w:p>
            <w:pPr>
              <w:spacing w:after="40" w:before="40"/>
            </w:pPr>
            <w:r>
              <w:rPr>
                <w:rFonts w:ascii="Inter" w:cs="Inter" w:eastAsia="Inter" w:hAnsi="Inter"/>
                <w:b w:val="false"/>
                <w:bCs w:val="false"/>
                <w:sz w:val="20"/>
                <w:szCs w:val="20"/>
              </w:rPr>
              <w:t xml:space="preserve">Chief Data / AI Officer</w:t>
            </w:r>
          </w:p>
        </w:tc>
        <w:tc>
          <w:p>
            <w:pPr>
              <w:spacing w:after="40" w:before="40"/>
            </w:pPr>
            <w:r>
              <w:rPr>
                <w:rFonts w:ascii="Inter" w:cs="Inter" w:eastAsia="Inter" w:hAnsi="Inter"/>
                <w:b w:val="false"/>
                <w:bCs w:val="false"/>
                <w:sz w:val="20"/>
                <w:szCs w:val="20"/>
              </w:rPr>
              <w:t xml:space="preserve">[NAME]</w:t>
            </w:r>
          </w:p>
        </w:tc>
        <w:tc>
          <w:p>
            <w:pPr>
              <w:spacing w:after="40" w:before="40"/>
            </w:pPr>
            <w:r>
              <w:rPr>
                <w:rFonts w:ascii="Inter" w:cs="Inter" w:eastAsia="Inter" w:hAnsi="Inter"/>
                <w:b w:val="false"/>
                <w:bCs w:val="false"/>
                <w:sz w:val="20"/>
                <w:szCs w:val="20"/>
              </w:rPr>
              <w:t xml:space="preserve"/>
            </w:r>
          </w:p>
        </w:tc>
        <w:tc>
          <w:p>
            <w:pPr>
              <w:spacing w:after="40" w:before="40"/>
            </w:pPr>
            <w:r>
              <w:rPr>
                <w:rFonts w:ascii="Inter" w:cs="Inter" w:eastAsia="Inter" w:hAnsi="Inter"/>
                <w:b w:val="false"/>
                <w:bCs w:val="false"/>
                <w:sz w:val="20"/>
                <w:szCs w:val="20"/>
              </w:rPr>
              <w:t xml:space="preserve">[YYYY-MM-DD]</w:t>
            </w:r>
          </w:p>
        </w:tc>
      </w:tr>
      <w:tr>
        <w:tc>
          <w:p>
            <w:pPr>
              <w:spacing w:after="40" w:before="40"/>
            </w:pPr>
            <w:r>
              <w:rPr>
                <w:rFonts w:ascii="Inter" w:cs="Inter" w:eastAsia="Inter" w:hAnsi="Inter"/>
                <w:b w:val="false"/>
                <w:bCs w:val="false"/>
                <w:sz w:val="20"/>
                <w:szCs w:val="20"/>
              </w:rPr>
              <w:t xml:space="preserve">Head of HR</w:t>
            </w:r>
          </w:p>
        </w:tc>
        <w:tc>
          <w:p>
            <w:pPr>
              <w:spacing w:after="40" w:before="40"/>
            </w:pPr>
            <w:r>
              <w:rPr>
                <w:rFonts w:ascii="Inter" w:cs="Inter" w:eastAsia="Inter" w:hAnsi="Inter"/>
                <w:b w:val="false"/>
                <w:bCs w:val="false"/>
                <w:sz w:val="20"/>
                <w:szCs w:val="20"/>
              </w:rPr>
              <w:t xml:space="preserve">[NAME]</w:t>
            </w:r>
          </w:p>
        </w:tc>
        <w:tc>
          <w:p>
            <w:pPr>
              <w:spacing w:after="40" w:before="40"/>
            </w:pPr>
            <w:r>
              <w:rPr>
                <w:rFonts w:ascii="Inter" w:cs="Inter" w:eastAsia="Inter" w:hAnsi="Inter"/>
                <w:b w:val="false"/>
                <w:bCs w:val="false"/>
                <w:sz w:val="20"/>
                <w:szCs w:val="20"/>
              </w:rPr>
              <w:t xml:space="preserve"/>
            </w:r>
          </w:p>
        </w:tc>
        <w:tc>
          <w:p>
            <w:pPr>
              <w:spacing w:after="40" w:before="40"/>
            </w:pPr>
            <w:r>
              <w:rPr>
                <w:rFonts w:ascii="Inter" w:cs="Inter" w:eastAsia="Inter" w:hAnsi="Inter"/>
                <w:b w:val="false"/>
                <w:bCs w:val="false"/>
                <w:sz w:val="20"/>
                <w:szCs w:val="20"/>
              </w:rPr>
              <w:t xml:space="preserve">[YYYY-MM-DD]</w:t>
            </w:r>
          </w:p>
        </w:tc>
      </w:tr>
      <w:tr>
        <w:tc>
          <w:p>
            <w:pPr>
              <w:spacing w:after="40" w:before="40"/>
            </w:pPr>
            <w:r>
              <w:rPr>
                <w:rFonts w:ascii="Inter" w:cs="Inter" w:eastAsia="Inter" w:hAnsi="Inter"/>
                <w:b w:val="false"/>
                <w:bCs w:val="false"/>
                <w:sz w:val="20"/>
                <w:szCs w:val="20"/>
              </w:rPr>
              <w:t xml:space="preserve">General Counsel</w:t>
            </w:r>
          </w:p>
        </w:tc>
        <w:tc>
          <w:p>
            <w:pPr>
              <w:spacing w:after="40" w:before="40"/>
            </w:pPr>
            <w:r>
              <w:rPr>
                <w:rFonts w:ascii="Inter" w:cs="Inter" w:eastAsia="Inter" w:hAnsi="Inter"/>
                <w:b w:val="false"/>
                <w:bCs w:val="false"/>
                <w:sz w:val="20"/>
                <w:szCs w:val="20"/>
              </w:rPr>
              <w:t xml:space="preserve">[NAME]</w:t>
            </w:r>
          </w:p>
        </w:tc>
        <w:tc>
          <w:p>
            <w:pPr>
              <w:spacing w:after="40" w:before="40"/>
            </w:pPr>
            <w:r>
              <w:rPr>
                <w:rFonts w:ascii="Inter" w:cs="Inter" w:eastAsia="Inter" w:hAnsi="Inter"/>
                <w:b w:val="false"/>
                <w:bCs w:val="false"/>
                <w:sz w:val="20"/>
                <w:szCs w:val="20"/>
              </w:rPr>
              <w:t xml:space="preserve"/>
            </w:r>
          </w:p>
        </w:tc>
        <w:tc>
          <w:p>
            <w:pPr>
              <w:spacing w:after="40" w:before="40"/>
            </w:pPr>
            <w:r>
              <w:rPr>
                <w:rFonts w:ascii="Inter" w:cs="Inter" w:eastAsia="Inter" w:hAnsi="Inter"/>
                <w:b w:val="false"/>
                <w:bCs w:val="false"/>
                <w:sz w:val="20"/>
                <w:szCs w:val="20"/>
              </w:rPr>
              <w:t xml:space="preserve">[YYYY-MM-DD]</w:t>
            </w:r>
          </w:p>
        </w:tc>
      </w:tr>
    </w:tbl>
    <w:p>
      <w:pPr>
        <w:spacing w:after="200"/>
      </w:pPr>
    </w:p>
    <w:p>
      <w:pPr>
        <w:pStyle w:val="Heading1"/>
        <w:spacing w:after="120" w:before="240"/>
      </w:pPr>
      <w:r>
        <w:rPr>
          <w:rFonts w:ascii="Inter" w:cs="Inter" w:eastAsia="Inter" w:hAnsi="Inter"/>
          <w:b/>
          <w:bCs/>
          <w:color w:val="5B21B6"/>
          <w:sz w:val="28"/>
          <w:szCs w:val="28"/>
        </w:rPr>
        <w:t xml:space="preserve">2. Why This Code Exists</w:t>
      </w:r>
    </w:p>
    <w:p>
      <w:pPr>
        <w:spacing w:after="80"/>
      </w:pPr>
      <w:r>
        <w:rPr>
          <w:rFonts w:ascii="Inter" w:cs="Inter" w:eastAsia="Inter" w:hAnsi="Inter"/>
          <w:b w:val="false"/>
          <w:bCs w:val="false"/>
          <w:sz w:val="20"/>
          <w:szCs w:val="20"/>
        </w:rPr>
        <w:t xml:space="preserve">[STATE THE ORGANIZATION’S POSITION — e.g., "We use AI to serve our customers and employees. We will not use it in ways that undermine their dignity, autonomy, or rights. This code translates that commitment into behavior we can be held to."]</w:t>
      </w:r>
    </w:p>
    <w:p>
      <w:pPr>
        <w:spacing w:after="80"/>
      </w:pPr>
      <w:r>
        <w:rPr>
          <w:rFonts w:ascii="Inter" w:cs="Inter" w:eastAsia="Inter" w:hAnsi="Inter"/>
          <w:i/>
          <w:iCs/>
          <w:color w:val="4B5563"/>
          <w:sz w:val="20"/>
          <w:szCs w:val="20"/>
        </w:rPr>
        <w:t xml:space="preserve">Keep this section short and in your own voice. A code that reads like boilerplate will be treated like boilerplate.</w:t>
      </w:r>
    </w:p>
    <w:p>
      <w:pPr>
        <w:spacing w:after="200"/>
      </w:pPr>
    </w:p>
    <w:p>
      <w:pPr>
        <w:pStyle w:val="Heading1"/>
        <w:spacing w:after="120" w:before="240"/>
      </w:pPr>
      <w:r>
        <w:rPr>
          <w:rFonts w:ascii="Inter" w:cs="Inter" w:eastAsia="Inter" w:hAnsi="Inter"/>
          <w:b/>
          <w:bCs/>
          <w:color w:val="5B21B6"/>
          <w:sz w:val="28"/>
          <w:szCs w:val="28"/>
        </w:rPr>
        <w:t xml:space="preserve">3. Principles and What They Mean in Practice</w:t>
      </w:r>
    </w:p>
    <w:p>
      <w:pPr>
        <w:spacing w:after="80"/>
      </w:pPr>
      <w:r>
        <w:rPr>
          <w:rFonts w:ascii="Inter" w:cs="Inter" w:eastAsia="Inter" w:hAnsi="Inter"/>
          <w:b/>
          <w:bCs/>
          <w:sz w:val="20"/>
          <w:szCs w:val="20"/>
        </w:rPr>
        <w:t xml:space="preserve">3.1 Accountability</w:t>
      </w:r>
    </w:p>
    <w:p>
      <w:pPr>
        <w:pStyle w:val="ListParagraph"/>
        <w:numPr>
          <w:ilvl w:val="0"/>
          <w:numId w:val="1"/>
        </w:numPr>
        <w:spacing w:after="60"/>
      </w:pPr>
      <w:r>
        <w:rPr>
          <w:rFonts w:ascii="Inter" w:cs="Inter" w:eastAsia="Inter" w:hAnsi="Inter"/>
          <w:sz w:val="20"/>
          <w:szCs w:val="20"/>
        </w:rPr>
        <w:t xml:space="preserve">Every AI system has a named business owner. "The model decided" is never an acceptable explanation.</w:t>
      </w:r>
    </w:p>
    <w:p>
      <w:pPr>
        <w:pStyle w:val="ListParagraph"/>
        <w:numPr>
          <w:ilvl w:val="0"/>
          <w:numId w:val="1"/>
        </w:numPr>
        <w:spacing w:after="60"/>
      </w:pPr>
      <w:r>
        <w:rPr>
          <w:rFonts w:ascii="Inter" w:cs="Inter" w:eastAsia="Inter" w:hAnsi="Inter"/>
          <w:sz w:val="20"/>
          <w:szCs w:val="20"/>
        </w:rPr>
        <w:t xml:space="preserve">Decisions above [defined impact threshold] are traceable to a person who can explain and reverse them.</w:t>
      </w:r>
    </w:p>
    <w:p>
      <w:pPr>
        <w:spacing w:after="80"/>
      </w:pPr>
      <w:r>
        <w:rPr>
          <w:rFonts w:ascii="Inter" w:cs="Inter" w:eastAsia="Inter" w:hAnsi="Inter"/>
          <w:b/>
          <w:bCs/>
          <w:sz w:val="20"/>
          <w:szCs w:val="20"/>
        </w:rPr>
        <w:t xml:space="preserve">3.2 Fairness</w:t>
      </w:r>
    </w:p>
    <w:p>
      <w:pPr>
        <w:pStyle w:val="ListParagraph"/>
        <w:numPr>
          <w:ilvl w:val="0"/>
          <w:numId w:val="1"/>
        </w:numPr>
        <w:spacing w:after="60"/>
      </w:pPr>
      <w:r>
        <w:rPr>
          <w:rFonts w:ascii="Inter" w:cs="Inter" w:eastAsia="Inter" w:hAnsi="Inter"/>
          <w:sz w:val="20"/>
          <w:szCs w:val="20"/>
        </w:rPr>
        <w:t xml:space="preserve">Systems that affect individuals are tested for disparate performance across [defined groups] before deployment and at least [annually] after.</w:t>
      </w:r>
    </w:p>
    <w:p>
      <w:pPr>
        <w:pStyle w:val="ListParagraph"/>
        <w:numPr>
          <w:ilvl w:val="0"/>
          <w:numId w:val="1"/>
        </w:numPr>
        <w:spacing w:after="60"/>
      </w:pPr>
      <w:r>
        <w:rPr>
          <w:rFonts w:ascii="Inter" w:cs="Inter" w:eastAsia="Inter" w:hAnsi="Inter"/>
          <w:sz w:val="20"/>
          <w:szCs w:val="20"/>
        </w:rPr>
        <w:t xml:space="preserve">When disparities are found, we remediate, constrain the use case, or retire the system — and we document which.</w:t>
      </w:r>
    </w:p>
    <w:p>
      <w:pPr>
        <w:spacing w:after="80"/>
      </w:pPr>
      <w:r>
        <w:rPr>
          <w:rFonts w:ascii="Inter" w:cs="Inter" w:eastAsia="Inter" w:hAnsi="Inter"/>
          <w:b/>
          <w:bCs/>
          <w:sz w:val="20"/>
          <w:szCs w:val="20"/>
        </w:rPr>
        <w:t xml:space="preserve">3.3 Transparency</w:t>
      </w:r>
    </w:p>
    <w:p>
      <w:pPr>
        <w:pStyle w:val="ListParagraph"/>
        <w:numPr>
          <w:ilvl w:val="0"/>
          <w:numId w:val="1"/>
        </w:numPr>
        <w:spacing w:after="60"/>
      </w:pPr>
      <w:r>
        <w:rPr>
          <w:rFonts w:ascii="Inter" w:cs="Inter" w:eastAsia="Inter" w:hAnsi="Inter"/>
          <w:sz w:val="20"/>
          <w:szCs w:val="20"/>
        </w:rPr>
        <w:t xml:space="preserve">People are told when they are interacting with AI, and when AI materially influenced a decision about them.</w:t>
      </w:r>
    </w:p>
    <w:p>
      <w:pPr>
        <w:pStyle w:val="ListParagraph"/>
        <w:numPr>
          <w:ilvl w:val="0"/>
          <w:numId w:val="1"/>
        </w:numPr>
        <w:spacing w:after="60"/>
      </w:pPr>
      <w:r>
        <w:rPr>
          <w:rFonts w:ascii="Inter" w:cs="Inter" w:eastAsia="Inter" w:hAnsi="Inter"/>
          <w:sz w:val="20"/>
          <w:szCs w:val="20"/>
        </w:rPr>
        <w:t xml:space="preserve">We maintain model cards for systems above [risk tier] and can explain system behavior to regulators and affected individuals at an appropriate level of detail.</w:t>
      </w:r>
    </w:p>
    <w:p>
      <w:pPr>
        <w:spacing w:after="80"/>
      </w:pPr>
      <w:r>
        <w:rPr>
          <w:rFonts w:ascii="Inter" w:cs="Inter" w:eastAsia="Inter" w:hAnsi="Inter"/>
          <w:b/>
          <w:bCs/>
          <w:sz w:val="20"/>
          <w:szCs w:val="20"/>
        </w:rPr>
        <w:t xml:space="preserve">3.4 Human Oversight</w:t>
      </w:r>
    </w:p>
    <w:p>
      <w:pPr>
        <w:pStyle w:val="ListParagraph"/>
        <w:numPr>
          <w:ilvl w:val="0"/>
          <w:numId w:val="1"/>
        </w:numPr>
        <w:spacing w:after="60"/>
      </w:pPr>
      <w:r>
        <w:rPr>
          <w:rFonts w:ascii="Inter" w:cs="Inter" w:eastAsia="Inter" w:hAnsi="Inter"/>
          <w:sz w:val="20"/>
          <w:szCs w:val="20"/>
        </w:rPr>
        <w:t xml:space="preserve">Consequential decisions retain meaningful human review — a person with the competence, information, time, and authority to disagree with the system.</w:t>
      </w:r>
    </w:p>
    <w:p>
      <w:pPr>
        <w:pStyle w:val="ListParagraph"/>
        <w:numPr>
          <w:ilvl w:val="0"/>
          <w:numId w:val="1"/>
        </w:numPr>
        <w:spacing w:after="60"/>
      </w:pPr>
      <w:r>
        <w:rPr>
          <w:rFonts w:ascii="Inter" w:cs="Inter" w:eastAsia="Inter" w:hAnsi="Inter"/>
          <w:sz w:val="20"/>
          <w:szCs w:val="20"/>
        </w:rPr>
        <w:t xml:space="preserve">Override and shutdown paths exist for every production system (see Human Oversight Specification).</w:t>
      </w:r>
    </w:p>
    <w:p>
      <w:pPr>
        <w:spacing w:after="80"/>
      </w:pPr>
      <w:r>
        <w:rPr>
          <w:rFonts w:ascii="Inter" w:cs="Inter" w:eastAsia="Inter" w:hAnsi="Inter"/>
          <w:b/>
          <w:bCs/>
          <w:sz w:val="20"/>
          <w:szCs w:val="20"/>
        </w:rPr>
        <w:t xml:space="preserve">3.5 Privacy and Data Stewardship</w:t>
      </w:r>
    </w:p>
    <w:p>
      <w:pPr>
        <w:pStyle w:val="ListParagraph"/>
        <w:numPr>
          <w:ilvl w:val="0"/>
          <w:numId w:val="1"/>
        </w:numPr>
        <w:spacing w:after="60"/>
      </w:pPr>
      <w:r>
        <w:rPr>
          <w:rFonts w:ascii="Inter" w:cs="Inter" w:eastAsia="Inter" w:hAnsi="Inter"/>
          <w:sz w:val="20"/>
          <w:szCs w:val="20"/>
        </w:rPr>
        <w:t xml:space="preserve">Personal data is used for AI only with a lawful basis, and never repurposed for training without assessment and, where required, consent.</w:t>
      </w:r>
    </w:p>
    <w:p>
      <w:pPr>
        <w:pStyle w:val="ListParagraph"/>
        <w:numPr>
          <w:ilvl w:val="0"/>
          <w:numId w:val="1"/>
        </w:numPr>
        <w:spacing w:after="60"/>
      </w:pPr>
      <w:r>
        <w:rPr>
          <w:rFonts w:ascii="Inter" w:cs="Inter" w:eastAsia="Inter" w:hAnsi="Inter"/>
          <w:sz w:val="20"/>
          <w:szCs w:val="20"/>
        </w:rPr>
        <w:t xml:space="preserve">We honor data subject rights including those specific to automated decision-making (see Data Subject Rights Procedure).</w:t>
      </w:r>
    </w:p>
    <w:p>
      <w:pPr>
        <w:spacing w:after="80"/>
      </w:pPr>
      <w:r>
        <w:rPr>
          <w:rFonts w:ascii="Inter" w:cs="Inter" w:eastAsia="Inter" w:hAnsi="Inter"/>
          <w:b/>
          <w:bCs/>
          <w:sz w:val="20"/>
          <w:szCs w:val="20"/>
        </w:rPr>
        <w:t xml:space="preserve">3.6 Safety and Security</w:t>
      </w:r>
    </w:p>
    <w:p>
      <w:pPr>
        <w:pStyle w:val="ListParagraph"/>
        <w:numPr>
          <w:ilvl w:val="0"/>
          <w:numId w:val="1"/>
        </w:numPr>
        <w:spacing w:after="60"/>
      </w:pPr>
      <w:r>
        <w:rPr>
          <w:rFonts w:ascii="Inter" w:cs="Inter" w:eastAsia="Inter" w:hAnsi="Inter"/>
          <w:sz w:val="20"/>
          <w:szCs w:val="20"/>
        </w:rPr>
        <w:t xml:space="preserve">Systems are tested against misuse and adversarial behavior proportionate to their risk tier before exposure to users.</w:t>
      </w:r>
    </w:p>
    <w:p>
      <w:pPr>
        <w:pStyle w:val="ListParagraph"/>
        <w:numPr>
          <w:ilvl w:val="0"/>
          <w:numId w:val="1"/>
        </w:numPr>
        <w:spacing w:after="60"/>
      </w:pPr>
      <w:r>
        <w:rPr>
          <w:rFonts w:ascii="Inter" w:cs="Inter" w:eastAsia="Inter" w:hAnsi="Inter"/>
          <w:sz w:val="20"/>
          <w:szCs w:val="20"/>
        </w:rPr>
        <w:t xml:space="preserve">We report and learn from AI incidents and near-misses without blame for good-faith reporting.</w:t>
      </w:r>
    </w:p>
    <w:p>
      <w:pPr>
        <w:spacing w:after="80"/>
      </w:pPr>
      <w:r>
        <w:rPr>
          <w:rFonts w:ascii="Inter" w:cs="Inter" w:eastAsia="Inter" w:hAnsi="Inter"/>
          <w:b/>
          <w:bCs/>
          <w:sz w:val="20"/>
          <w:szCs w:val="20"/>
        </w:rPr>
        <w:t xml:space="preserve">3.7 Sustainability</w:t>
      </w:r>
    </w:p>
    <w:p>
      <w:pPr>
        <w:pStyle w:val="ListParagraph"/>
        <w:numPr>
          <w:ilvl w:val="0"/>
          <w:numId w:val="1"/>
        </w:numPr>
        <w:spacing w:after="60"/>
      </w:pPr>
      <w:r>
        <w:rPr>
          <w:rFonts w:ascii="Inter" w:cs="Inter" w:eastAsia="Inter" w:hAnsi="Inter"/>
          <w:sz w:val="20"/>
          <w:szCs w:val="20"/>
        </w:rPr>
        <w:t xml:space="preserve">Compute-intensive AI choices consider energy and environmental cost; we prefer the smallest system that meets the need.</w:t>
      </w:r>
    </w:p>
    <w:p>
      <w:pPr>
        <w:spacing w:after="200"/>
      </w:pPr>
    </w:p>
    <w:p>
      <w:pPr>
        <w:pStyle w:val="Heading1"/>
        <w:spacing w:after="120" w:before="240"/>
      </w:pPr>
      <w:r>
        <w:rPr>
          <w:rFonts w:ascii="Inter" w:cs="Inter" w:eastAsia="Inter" w:hAnsi="Inter"/>
          <w:b/>
          <w:bCs/>
          <w:color w:val="5B21B6"/>
          <w:sz w:val="28"/>
          <w:szCs w:val="28"/>
        </w:rPr>
        <w:t xml:space="preserve">4. The Decision Test</w:t>
      </w:r>
    </w:p>
    <w:p>
      <w:pPr>
        <w:spacing w:after="80"/>
      </w:pPr>
      <w:r>
        <w:rPr>
          <w:rFonts w:ascii="Inter" w:cs="Inter" w:eastAsia="Inter" w:hAnsi="Inter"/>
          <w:b w:val="false"/>
          <w:bCs w:val="false"/>
          <w:sz w:val="20"/>
          <w:szCs w:val="20"/>
        </w:rPr>
        <w:t xml:space="preserve">Before deploying or materially changing an AI use, owners answer:</w:t>
      </w:r>
    </w:p>
    <w:p>
      <w:pPr>
        <w:pStyle w:val="ListParagraph"/>
        <w:numPr>
          <w:ilvl w:val="0"/>
          <w:numId w:val="1"/>
        </w:numPr>
        <w:spacing w:after="60"/>
      </w:pPr>
      <w:r>
        <w:rPr>
          <w:rFonts w:ascii="Inter" w:cs="Inter" w:eastAsia="Inter" w:hAnsi="Inter"/>
          <w:sz w:val="20"/>
          <w:szCs w:val="20"/>
        </w:rPr>
        <w:t xml:space="preserve">Would we be comfortable explaining this use, in plain language, to the people it affects?</w:t>
      </w:r>
    </w:p>
    <w:p>
      <w:pPr>
        <w:pStyle w:val="ListParagraph"/>
        <w:numPr>
          <w:ilvl w:val="0"/>
          <w:numId w:val="1"/>
        </w:numPr>
        <w:spacing w:after="60"/>
      </w:pPr>
      <w:r>
        <w:rPr>
          <w:rFonts w:ascii="Inter" w:cs="Inter" w:eastAsia="Inter" w:hAnsi="Inter"/>
          <w:sz w:val="20"/>
          <w:szCs w:val="20"/>
        </w:rPr>
        <w:t xml:space="preserve">If the system is wrong about someone, will we notice, and can they appeal to a human?</w:t>
      </w:r>
    </w:p>
    <w:p>
      <w:pPr>
        <w:pStyle w:val="ListParagraph"/>
        <w:numPr>
          <w:ilvl w:val="0"/>
          <w:numId w:val="1"/>
        </w:numPr>
        <w:spacing w:after="60"/>
      </w:pPr>
      <w:r>
        <w:rPr>
          <w:rFonts w:ascii="Inter" w:cs="Inter" w:eastAsia="Inter" w:hAnsi="Inter"/>
          <w:sz w:val="20"/>
          <w:szCs w:val="20"/>
        </w:rPr>
        <w:t xml:space="preserve">Does the benefit justify the worst credible harm?</w:t>
      </w:r>
    </w:p>
    <w:p>
      <w:pPr>
        <w:spacing w:after="80"/>
      </w:pPr>
      <w:r>
        <w:rPr>
          <w:rFonts w:ascii="Inter" w:cs="Inter" w:eastAsia="Inter" w:hAnsi="Inter"/>
          <w:b w:val="false"/>
          <w:bCs w:val="false"/>
          <w:sz w:val="20"/>
          <w:szCs w:val="20"/>
        </w:rPr>
        <w:t xml:space="preserve">If any answer is "no" or "unsure", the use case goes to the AI Governance Committee before proceeding.</w:t>
      </w:r>
    </w:p>
    <w:p>
      <w:pPr>
        <w:spacing w:after="200"/>
      </w:pPr>
    </w:p>
    <w:p>
      <w:pPr>
        <w:pStyle w:val="Heading1"/>
        <w:spacing w:after="120" w:before="240"/>
      </w:pPr>
      <w:r>
        <w:rPr>
          <w:rFonts w:ascii="Inter" w:cs="Inter" w:eastAsia="Inter" w:hAnsi="Inter"/>
          <w:b/>
          <w:bCs/>
          <w:color w:val="5B21B6"/>
          <w:sz w:val="28"/>
          <w:szCs w:val="28"/>
        </w:rPr>
        <w:t xml:space="preserve">5. Raising Concerns</w:t>
      </w:r>
    </w:p>
    <w:p>
      <w:pPr>
        <w:spacing w:after="80"/>
      </w:pPr>
      <w:r>
        <w:rPr>
          <w:rFonts w:ascii="Inter" w:cs="Inter" w:eastAsia="Inter" w:hAnsi="Inter"/>
          <w:b w:val="false"/>
          <w:bCs w:val="false"/>
          <w:sz w:val="20"/>
          <w:szCs w:val="20"/>
        </w:rPr>
        <w:t xml:space="preserve">Anyone may raise an AI ethics concern to [named channel — e.g., ethics mailbox, ombudsperson, anonymous hotline]. Concerns are triaged within [X business days]. Retaliation for good-faith reporting is itself a violation of this code.</w:t>
      </w:r>
    </w:p>
    <w:p>
      <w:pPr>
        <w:spacing w:after="200"/>
      </w:pPr>
    </w:p>
    <w:p>
      <w:pPr>
        <w:pStyle w:val="Heading1"/>
        <w:spacing w:after="120" w:before="240"/>
      </w:pPr>
      <w:r>
        <w:rPr>
          <w:rFonts w:ascii="Inter" w:cs="Inter" w:eastAsia="Inter" w:hAnsi="Inter"/>
          <w:b/>
          <w:bCs/>
          <w:color w:val="5B21B6"/>
          <w:sz w:val="28"/>
          <w:szCs w:val="28"/>
        </w:rPr>
        <w:t xml:space="preserve">6. Governance</w:t>
      </w:r>
    </w:p>
    <w:p>
      <w:pPr>
        <w:spacing w:after="80"/>
      </w:pPr>
      <w:r>
        <w:rPr>
          <w:rFonts w:ascii="Inter" w:cs="Inter" w:eastAsia="Inter" w:hAnsi="Inter"/>
          <w:b w:val="false"/>
          <w:bCs w:val="false"/>
          <w:sz w:val="20"/>
          <w:szCs w:val="20"/>
        </w:rPr>
        <w:t xml:space="preserve">This code is owned by [the AI Governance Committee], reviewed [annually], and applies to all workforce members and to third parties acting on our behalf. Violations are handled under [the disciplinary policy].</w:t>
      </w:r>
    </w:p>
    <w:p>
      <w:pPr>
        <w:spacing w:after="80"/>
      </w:pPr>
      <w:r>
        <w:rPr>
          <w:rFonts w:ascii="Inter" w:cs="Inter" w:eastAsia="Inter" w:hAnsi="Inter"/>
          <w:i/>
          <w:iCs/>
          <w:color w:val="4B5563"/>
          <w:sz w:val="20"/>
          <w:szCs w:val="20"/>
        </w:rPr>
        <w:t xml:space="preserve">Alignment: ISO/IEC 42001 Clause 5.2 (AI policy) and Annex A.2; informs the objectives set under Clause 6.2.</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rFonts w:ascii="Inter" w:cs="Inter" w:eastAsia="Inter" w:hAnsi="Inter"/>
        <w:color w:val="6B7280"/>
        <w:sz w:val="16"/>
        <w:szCs w:val="16"/>
      </w:rPr>
      <w:t xml:space="preserve">AI Governance Toolkit · AI Ethics Code · CC-BY 4.0 · emmanuelgjr.github.io/AI-Governance-Toolkit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Inter" w:cs="Inter" w:eastAsia="Inter" w:hAnsi="Inter"/>
        <w:b/>
        <w:bCs/>
        <w:color w:val="5B21B6"/>
        <w:sz w:val="16"/>
        <w:szCs w:val="16"/>
      </w:rPr>
      <w:t xml:space="preserve">AI GOVERNANCE TOOLKIT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2026-06-10T03:08:50.823Z</dcterms:created>
  <dcterms:modified xsi:type="dcterms:W3CDTF">2026-06-10T03:08:50.823Z</dcterms:modified>
</cp:coreProperties>
</file>

<file path=docProps/custom.xml><?xml version="1.0" encoding="utf-8"?>
<Properties xmlns="http://schemas.openxmlformats.org/officeDocument/2006/custom-properties" xmlns:vt="http://schemas.openxmlformats.org/officeDocument/2006/docPropsVTypes"/>
</file>