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rFonts w:ascii="Inter" w:cs="Inter" w:eastAsia="Inter" w:hAnsi="Inter"/>
          <w:b/>
          <w:bCs/>
          <w:color w:val="5B21B6"/>
          <w:sz w:val="40"/>
          <w:szCs w:val="40"/>
        </w:rPr>
        <w:t xml:space="preserve">AI Governance Charter</w:t>
      </w:r>
    </w:p>
    <w:p>
      <w:pPr>
        <w:spacing w:after="120"/>
        <w:jc w:val="center"/>
      </w:pPr>
      <w:r>
        <w:rPr>
          <w:rFonts w:ascii="Inter" w:cs="Inter" w:eastAsia="Inter" w:hAnsi="Inter"/>
          <w:color w:val="4B5563"/>
          <w:sz w:val="24"/>
          <w:szCs w:val="24"/>
        </w:rPr>
        <w:t xml:space="preserve">[ORGANIZATION NAME]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1. Document Control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Field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Document Title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AI Governance Charter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Version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[1.0]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Owner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[ROLE / NAME]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Date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Classification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[INTERNAL / CONFIDENTIAL]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Next Review Date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 — at most 12 months out]</w:t>
            </w:r>
          </w:p>
        </w:tc>
      </w:tr>
    </w:tbl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Approvals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Name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Signature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Executive Sponsor (CEO / COO)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Chief Information Security Officer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Chief Data / AI Officer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General Counsel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2. Purpose and Mandate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[STATE WHY THIS BODY EXISTS — e.g., "The AI Governance Committee directs and oversees the responsible development, procurement, deployment, and retirement of AI systems across [ORGANIZATION], consistent with our risk appetite, legal obligations, and the requirements of ISO/IEC 42001."]</w:t>
      </w:r>
    </w:p>
    <w:p>
      <w:pPr>
        <w:spacing w:after="80"/>
      </w:pPr>
      <w:r>
        <w:rPr>
          <w:rFonts w:ascii="Inter" w:cs="Inter" w:eastAsia="Inter" w:hAnsi="Inter"/>
          <w:i/>
          <w:iCs/>
          <w:color w:val="4B5563"/>
          <w:sz w:val="20"/>
          <w:szCs w:val="20"/>
        </w:rPr>
        <w:t xml:space="preserve">Alignment: ISO/IEC 42001 Clause 5.1 (leadership and commitment), Clause 5.2 (AI policy), Clause 4 (context of the organization).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3. Scope of the AI Management System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[DEFINE WHAT IS IN AND OUT OF SCOPE. Be specific: business units, geographies, system types. The AIMS scope statement required by Clause 4.3 can be reproduced or referenced here.]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In scope: [e.g., all AI systems processing customer or employee data; all generative AI tools used by staff; vendor AI embedded in procured software]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Out of scope: [e.g., pure research prototypes never exposed to production data — justify every exclusion]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4. Governance Structure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Body / Role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Mandate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Cadence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AI Governance Committee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Approves AI policy, risk appetite, high-risk deployments; reviews incidents and KPIs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[Monthly]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Accountable Executive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Single named owner of the AIMS; reports to board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Standing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AI Risk Officer / 2nd line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Maintains risk register, challenges first-line assessments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Standing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System Owners (1st line)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Inventory accuracy, impact assessments, control operation for their systems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Standing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Internal Audit (3rd line)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Independent assurance over the AIMS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[Annual]</w:t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5. Decision Rights and Escalation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Decision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Decided by</w:t>
            </w:r>
          </w:p>
        </w:tc>
        <w:tc>
          <w:tcPr>
            <w:shd w:fill="5B21B6" w:color="5B21B6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Escalated to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Approve new high-risk AI use case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AI Governance Committee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Executive / Board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Approve limited/minimal-risk use case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System Owner + AI Risk Officer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Committee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Accept a residual risk above appetite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Committee (documented)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Board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Suspend a production AI system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Accountable Executive or CISO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—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Approve exceptions to the AI policy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Committee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Executive</w:t>
            </w:r>
          </w:p>
        </w:tc>
      </w:tr>
    </w:tbl>
    <w:p>
      <w:pPr>
        <w:spacing w:after="80"/>
      </w:pPr>
      <w:r>
        <w:rPr>
          <w:rFonts w:ascii="Inter" w:cs="Inter" w:eastAsia="Inter" w:hAnsi="Inter"/>
          <w:i/>
          <w:iCs/>
          <w:color w:val="4B5563"/>
          <w:sz w:val="20"/>
          <w:szCs w:val="20"/>
        </w:rPr>
        <w:t xml:space="preserve">Tie thresholds to the AI Risk Appetite Statement and the risk register scoring scale (likelihood × impact, 1–25).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6. Meetings and Quorum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Cadence: [monthly], with extraordinary sessions for incidents rated [High] or above.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Quorum: [majority of voting members, including the Accountable Executive or delegate].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Standing agenda: inventory changes, risk register movements, incident review, policy exceptions, regulatory horizon, KPI dashboard.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Minutes and decisions are documented information under ISO/IEC 42001 Clause 7.5.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7. Reporting and Key Indicators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The committee reports to [the board risk committee] [quarterly]. Minimum indicators: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AI systems in inventory, by lifecycle stage and risk tier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% of high-risk systems with a completed impact assessment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Open risks above appetite, with treatment status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AI incidents and near-misses, with time-to-containment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% of staff completing AI acceptable-use training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5B21B6"/>
          <w:sz w:val="28"/>
          <w:szCs w:val="28"/>
        </w:rPr>
        <w:t xml:space="preserve">8. Review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This charter is reviewed at least annually and after any material change to the organization, its AI use, or applicable regulation (ISO/IEC 42001 Clause 9.3 management review inputs).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rPr>
        <w:rFonts w:ascii="Inter" w:cs="Inter" w:eastAsia="Inter" w:hAnsi="Inter"/>
        <w:color w:val="6B7280"/>
        <w:sz w:val="16"/>
        <w:szCs w:val="16"/>
      </w:rPr>
      <w:t xml:space="preserve">AI Governance Toolkit · AI Governance Charter · CC-BY 4.0 · emmanuelgjr.github.io/AI-Governance-Toolkit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Inter" w:cs="Inter" w:eastAsia="Inter" w:hAnsi="Inter"/>
        <w:b/>
        <w:bCs/>
        <w:color w:val="5B21B6"/>
        <w:sz w:val="16"/>
        <w:szCs w:val="16"/>
      </w:rPr>
      <w:t xml:space="preserve">AI GOVERNANCE TOOLKIT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2026-06-10T03:08:50.721Z</dcterms:created>
  <dcterms:modified xsi:type="dcterms:W3CDTF">2026-06-10T03:08:50.721Z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