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  <w:jc w:val="center"/>
      </w:pPr>
      <w:r>
        <w:rPr>
          <w:rFonts w:ascii="Inter" w:cs="Inter" w:eastAsia="Inter" w:hAnsi="Inter"/>
          <w:b/>
          <w:bCs/>
          <w:color w:val="5B21B6"/>
          <w:sz w:val="40"/>
          <w:szCs w:val="40"/>
        </w:rPr>
        <w:t xml:space="preserve">AI Risk Appetite Statement</w:t>
      </w:r>
    </w:p>
    <w:p>
      <w:pPr>
        <w:spacing w:after="120"/>
        <w:jc w:val="center"/>
      </w:pPr>
      <w:r>
        <w:rPr>
          <w:rFonts w:ascii="Inter" w:cs="Inter" w:eastAsia="Inter" w:hAnsi="Inter"/>
          <w:color w:val="4B5563"/>
          <w:sz w:val="24"/>
          <w:szCs w:val="24"/>
        </w:rPr>
        <w:t xml:space="preserve">[ORGANIZATION NAME]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1. Document Control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Field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Document Title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AI Risk Appetite Statement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Version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[1.0]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Owner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[ROLE / NAME]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Date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Classification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[INTERNAL / CONFIDENTIAL]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Next Review Date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 — at most 12 months out]</w:t>
            </w:r>
          </w:p>
        </w:tc>
      </w:tr>
    </w:tbl>
    <w:p>
      <w:pPr>
        <w:spacing w:after="200"/>
      </w:pP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Approvals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Role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Name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Signature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Date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Board Risk Committee Chair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Chief Risk Officer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Accountable Executive for AI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</w:tr>
    </w:tbl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2. Purpose</w:t>
      </w:r>
    </w:p>
    <w:p>
      <w:pPr>
        <w:spacing w:after="80"/>
      </w:pPr>
      <w:r>
        <w:rPr>
          <w:rFonts w:ascii="Inter" w:cs="Inter" w:eastAsia="Inter" w:hAnsi="Inter"/>
          <w:b w:val="false"/>
          <w:bCs w:val="false"/>
          <w:sz w:val="20"/>
          <w:szCs w:val="20"/>
        </w:rPr>
        <w:t xml:space="preserve">This statement defines how much AI-related risk [ORGANIZATION] is willing to accept in pursuit of its objectives, and the thresholds that trigger escalation. It calibrates decisions made in the AI Risk Register, the intake process, and the governance committee.</w:t>
      </w:r>
    </w:p>
    <w:p>
      <w:pPr>
        <w:spacing w:after="80"/>
      </w:pPr>
      <w:r>
        <w:rPr>
          <w:rFonts w:ascii="Inter" w:cs="Inter" w:eastAsia="Inter" w:hAnsi="Inter"/>
          <w:i/>
          <w:iCs/>
          <w:color w:val="4B5563"/>
          <w:sz w:val="20"/>
          <w:szCs w:val="20"/>
        </w:rPr>
        <w:t xml:space="preserve">Alignment: ISO/IEC 42001 Clause 6.1 (actions to address risks and opportunities). Scores below refer to the register’s 1–5 likelihood × 1–5 impact scale (1–25).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3. Appetite by Risk Category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Category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Appetite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Statement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Bias / fairness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[Minimal]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[e.g., "No appetite for unmitigated disparate impact in decisions affecting individuals’ rights or livelihoods."]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Privacy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[Minimal]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[e.g., "No appetite for processing personal data in AI without a lawful basis and completed assessment."]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Security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[Low]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[e.g., "Low appetite for AI systems exposed to untrusted input without adversarial testing."]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Operational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[Moderate]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[e.g., "Moderate appetite for automation of internal processes with human fallback."]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Reputational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[Low]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[Statement]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Regulatory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[Minimal]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[e.g., "No appetite for knowingly operating outside EU AI Act / sectoral obligations."]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Strategic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[Moderate–High]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[e.g., "Willing to accept experimentation risk in contained pilots."]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Third-party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[Low]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[e.g., "Low appetite for critical dependence on unassessed AI vendors."]</w:t>
            </w:r>
          </w:p>
        </w:tc>
      </w:tr>
    </w:tbl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4. Quantitative Thresholds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Residual score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Meaning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Required action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1–4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Within appetite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Owner manages; routine review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5–9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Tolerance zone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Treatment plan required; [AI Risk Officer] sign-off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10–14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Above appetite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Committee approval required to operate; time-bound treatment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15–25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Outside tolerance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Not acceptable. Suspend or do not deploy until reduced; Board notified</w:t>
            </w:r>
          </w:p>
        </w:tc>
      </w:tr>
    </w:tbl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Category-specific overrides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[e.g., Any Privacy or Bias risk scoring ≥ 10 escalates to the Board regardless of treatment status.]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[e.g., No system may go live with an untreated Security risk ≥ 8.]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5. Breach Handling</w:t>
      </w:r>
    </w:p>
    <w:p>
      <w:pPr>
        <w:spacing w:after="80"/>
      </w:pPr>
      <w:r>
        <w:rPr>
          <w:rFonts w:ascii="Inter" w:cs="Inter" w:eastAsia="Inter" w:hAnsi="Inter"/>
          <w:b w:val="false"/>
          <w:bCs w:val="false"/>
          <w:sz w:val="20"/>
          <w:szCs w:val="20"/>
        </w:rPr>
        <w:t xml:space="preserve">When a risk is discovered above the thresholds in §4: the owner notifies [the AI Risk Officer] within [2 business days]; an interim decision (operate / restrict / suspend) is made by [the Accountable Executive] within [5 business days]; the breach and decision are recorded in the register and reported at the next committee meeting.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6. Review</w:t>
      </w:r>
    </w:p>
    <w:p>
      <w:pPr>
        <w:spacing w:after="80"/>
      </w:pPr>
      <w:r>
        <w:rPr>
          <w:rFonts w:ascii="Inter" w:cs="Inter" w:eastAsia="Inter" w:hAnsi="Inter"/>
          <w:b w:val="false"/>
          <w:bCs w:val="false"/>
          <w:sz w:val="20"/>
          <w:szCs w:val="20"/>
        </w:rPr>
        <w:t xml:space="preserve">Reviewed [annually] by the Board Risk Committee, and after any material incident, regulatory change, or strategic shift in AI use.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r>
      <w:rPr>
        <w:rFonts w:ascii="Inter" w:cs="Inter" w:eastAsia="Inter" w:hAnsi="Inter"/>
        <w:color w:val="6B7280"/>
        <w:sz w:val="16"/>
        <w:szCs w:val="16"/>
      </w:rPr>
      <w:t xml:space="preserve">AI Governance Toolkit · AI Risk Appetite Statement · CC-BY 4.0 · emmanuelgjr.github.io/AI-Governance-Toolkit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rPr>
        <w:rFonts w:ascii="Inter" w:cs="Inter" w:eastAsia="Inter" w:hAnsi="Inter"/>
        <w:b/>
        <w:bCs/>
        <w:color w:val="5B21B6"/>
        <w:sz w:val="16"/>
        <w:szCs w:val="16"/>
      </w:rPr>
      <w:t xml:space="preserve">AI GOVERNANCE TOOLKIT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2026-06-10T03:08:50.834Z</dcterms:created>
  <dcterms:modified xsi:type="dcterms:W3CDTF">2026-06-10T03:08:50.834Z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