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0"/>
        <w:jc w:val="center"/>
      </w:pPr>
      <w:r>
        <w:rPr>
          <w:rFonts w:ascii="Inter" w:cs="Inter" w:eastAsia="Inter" w:hAnsi="Inter"/>
          <w:b/>
          <w:bCs/>
          <w:color w:val="5B21B6"/>
          <w:sz w:val="40"/>
          <w:szCs w:val="40"/>
        </w:rPr>
        <w:t xml:space="preserve">AI Vendor Termination / Transition Plan</w:t>
      </w:r>
    </w:p>
    <w:p>
      <w:pPr>
        <w:spacing w:after="120"/>
        <w:jc w:val="center"/>
      </w:pPr>
      <w:r>
        <w:rPr>
          <w:rFonts w:ascii="Inter" w:cs="Inter" w:eastAsia="Inter" w:hAnsi="Inter"/>
          <w:color w:val="4B5563"/>
          <w:sz w:val="24"/>
          <w:szCs w:val="24"/>
        </w:rPr>
        <w:t xml:space="preserve">[VENDOR NAME] — [SYSTEM / SERVICE]</w:t>
      </w:r>
    </w:p>
    <w:p>
      <w:pPr>
        <w:spacing w:after="200"/>
      </w:pPr>
    </w:p>
    <w:p>
      <w:pPr>
        <w:pStyle w:val="Heading1"/>
        <w:spacing w:after="120" w:before="240"/>
      </w:pPr>
      <w:r>
        <w:rPr>
          <w:rFonts w:ascii="Inter" w:cs="Inter" w:eastAsia="Inter" w:hAnsi="Inter"/>
          <w:b/>
          <w:bCs/>
          <w:color w:val="5B21B6"/>
          <w:sz w:val="28"/>
          <w:szCs w:val="28"/>
        </w:rPr>
        <w:t xml:space="preserve">1. Document Control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rPr>
          <w:tblHeader/>
        </w:trPr>
        <w:tc>
          <w:tcPr>
            <w:shd w:fill="5B21B6" w:color="5B21B6" w:val="solid"/>
          </w:tcPr>
          <w:p>
            <w:pPr>
              <w:spacing w:after="40" w:before="40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Field</w:t>
            </w:r>
          </w:p>
        </w:tc>
        <w:tc>
          <w:tcPr>
            <w:shd w:fill="5B21B6" w:color="5B21B6" w:val="solid"/>
          </w:tcPr>
          <w:p>
            <w:pPr>
              <w:spacing w:after="40" w:before="40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Value</w:t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Document Title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AI Vendor Termination / Transition Plan</w:t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Version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[1.0]</w:t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Owner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[ROLE / NAME]</w:t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Date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[YYYY-MM-DD]</w:t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Classification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[INTERNAL / CONFIDENTIAL]</w:t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Next Review Date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[YYYY-MM-DD — at most 12 months out]</w:t>
            </w:r>
          </w:p>
        </w:tc>
      </w:tr>
    </w:tbl>
    <w:p>
      <w:pPr>
        <w:spacing w:after="200"/>
      </w:pPr>
    </w:p>
    <w:p>
      <w:pPr>
        <w:spacing w:after="80"/>
      </w:pPr>
      <w:r>
        <w:rPr>
          <w:rFonts w:ascii="Inter" w:cs="Inter" w:eastAsia="Inter" w:hAnsi="Inter"/>
          <w:b/>
          <w:bCs/>
          <w:sz w:val="20"/>
          <w:szCs w:val="20"/>
        </w:rPr>
        <w:t xml:space="preserve">Approvals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</w:tblGrid>
      <w:tr>
        <w:trPr>
          <w:tblHeader/>
        </w:trPr>
        <w:tc>
          <w:tcPr>
            <w:shd w:fill="5B21B6" w:color="5B21B6" w:val="solid"/>
          </w:tcPr>
          <w:p>
            <w:pPr>
              <w:spacing w:after="40" w:before="40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Role</w:t>
            </w:r>
          </w:p>
        </w:tc>
        <w:tc>
          <w:tcPr>
            <w:shd w:fill="5B21B6" w:color="5B21B6" w:val="solid"/>
          </w:tcPr>
          <w:p>
            <w:pPr>
              <w:spacing w:after="40" w:before="40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Name</w:t>
            </w:r>
          </w:p>
        </w:tc>
        <w:tc>
          <w:tcPr>
            <w:shd w:fill="5B21B6" w:color="5B21B6" w:val="solid"/>
          </w:tcPr>
          <w:p>
            <w:pPr>
              <w:spacing w:after="40" w:before="40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Signature</w:t>
            </w:r>
          </w:p>
        </w:tc>
        <w:tc>
          <w:tcPr>
            <w:shd w:fill="5B21B6" w:color="5B21B6" w:val="solid"/>
          </w:tcPr>
          <w:p>
            <w:pPr>
              <w:spacing w:after="40" w:before="40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Date</w:t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System Business Owner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[NAME]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[YYYY-MM-DD]</w:t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Procurement / Vendor Management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[NAME]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[YYYY-MM-DD]</w:t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CISO or delegate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[NAME]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[YYYY-MM-DD]</w:t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Legal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[NAME]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[YYYY-MM-DD]</w:t>
            </w:r>
          </w:p>
        </w:tc>
      </w:tr>
    </w:tbl>
    <w:p>
      <w:pPr>
        <w:spacing w:after="200"/>
      </w:pPr>
    </w:p>
    <w:p>
      <w:pPr>
        <w:pStyle w:val="Heading1"/>
        <w:spacing w:after="120" w:before="240"/>
      </w:pPr>
      <w:r>
        <w:rPr>
          <w:rFonts w:ascii="Inter" w:cs="Inter" w:eastAsia="Inter" w:hAnsi="Inter"/>
          <w:b/>
          <w:bCs/>
          <w:color w:val="5B21B6"/>
          <w:sz w:val="28"/>
          <w:szCs w:val="28"/>
        </w:rPr>
        <w:t xml:space="preserve">2. Context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rPr>
          <w:tblHeader/>
        </w:trPr>
        <w:tc>
          <w:tcPr>
            <w:shd w:fill="5B21B6" w:color="5B21B6" w:val="solid"/>
          </w:tcPr>
          <w:p>
            <w:pPr>
              <w:spacing w:after="40" w:before="40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Field</w:t>
            </w:r>
          </w:p>
        </w:tc>
        <w:tc>
          <w:tcPr>
            <w:shd w:fill="5B21B6" w:color="5B21B6" w:val="solid"/>
          </w:tcPr>
          <w:p>
            <w:pPr>
              <w:spacing w:after="40" w:before="40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Value</w:t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Vendor and service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Inventory ID(s) of dependent systems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Trigger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[contract end / vendor exit / risk decision / breach / cost]</w:t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Criticality of the service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[per BIA]</w:t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Target exit date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</w:tbl>
    <w:p>
      <w:pPr>
        <w:spacing w:after="200"/>
      </w:pPr>
    </w:p>
    <w:p>
      <w:pPr>
        <w:pStyle w:val="Heading1"/>
        <w:spacing w:after="120" w:before="240"/>
      </w:pPr>
      <w:r>
        <w:rPr>
          <w:rFonts w:ascii="Inter" w:cs="Inter" w:eastAsia="Inter" w:hAnsi="Inter"/>
          <w:b/>
          <w:bCs/>
          <w:color w:val="5B21B6"/>
          <w:sz w:val="28"/>
          <w:szCs w:val="28"/>
        </w:rPr>
        <w:t xml:space="preserve">3. What the Vendor Holds — Pre-Termination Inventory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</w:tblGrid>
      <w:tr>
        <w:trPr>
          <w:tblHeader/>
        </w:trPr>
        <w:tc>
          <w:tcPr>
            <w:shd w:fill="5B21B6" w:color="5B21B6" w:val="solid"/>
          </w:tcPr>
          <w:p>
            <w:pPr>
              <w:spacing w:after="40" w:before="40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Asset</w:t>
            </w:r>
          </w:p>
        </w:tc>
        <w:tc>
          <w:tcPr>
            <w:shd w:fill="5B21B6" w:color="5B21B6" w:val="solid"/>
          </w:tcPr>
          <w:p>
            <w:pPr>
              <w:spacing w:after="40" w:before="40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Held by vendor?</w:t>
            </w:r>
          </w:p>
        </w:tc>
        <w:tc>
          <w:tcPr>
            <w:shd w:fill="5B21B6" w:color="5B21B6" w:val="solid"/>
          </w:tcPr>
          <w:p>
            <w:pPr>
              <w:spacing w:after="40" w:before="40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Export format</w:t>
            </w:r>
          </w:p>
        </w:tc>
        <w:tc>
          <w:tcPr>
            <w:shd w:fill="5B21B6" w:color="5B21B6" w:val="solid"/>
          </w:tcPr>
          <w:p>
            <w:pPr>
              <w:spacing w:after="40" w:before="40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Owner per contract</w:t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Our input data / documents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[Y/N]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[format]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[us / vendor]</w:t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Fine-tuned model weights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[Y/N]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[portable? often not]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[verify contract]</w:t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Prompts, configurations, guardrail rules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[Y/N]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[format]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Embeddings / vector stores built from our data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[Y/N]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[format]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Usage logs and audit trails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[Y/N]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[format]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Evaluation results and test sets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[Y/N]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[format]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</w:tbl>
    <w:p>
      <w:pPr>
        <w:spacing w:after="80"/>
      </w:pPr>
      <w:r>
        <w:rPr>
          <w:rFonts w:ascii="Inter" w:cs="Inter" w:eastAsia="Inter" w:hAnsi="Inter"/>
          <w:i/>
          <w:iCs/>
          <w:color w:val="4B5563"/>
          <w:sz w:val="20"/>
          <w:szCs w:val="20"/>
        </w:rPr>
        <w:t xml:space="preserve">Fine-tuned weights and embeddings are the common traps: contractually ours in spirit, technically non-portable in practice. Establish reality before giving notice.</w:t>
      </w:r>
    </w:p>
    <w:p>
      <w:pPr>
        <w:spacing w:after="200"/>
      </w:pPr>
    </w:p>
    <w:p>
      <w:pPr>
        <w:pStyle w:val="Heading1"/>
        <w:spacing w:after="120" w:before="240"/>
      </w:pPr>
      <w:r>
        <w:rPr>
          <w:rFonts w:ascii="Inter" w:cs="Inter" w:eastAsia="Inter" w:hAnsi="Inter"/>
          <w:b/>
          <w:bCs/>
          <w:color w:val="5B21B6"/>
          <w:sz w:val="28"/>
          <w:szCs w:val="28"/>
        </w:rPr>
        <w:t xml:space="preserve">4. Data Return and Deletion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Inter" w:cs="Inter" w:eastAsia="Inter" w:hAnsi="Inter"/>
          <w:sz w:val="20"/>
          <w:szCs w:val="20"/>
        </w:rPr>
        <w:t xml:space="preserve">Request export of all assets in §3 in [agreed formats] by [date].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Inter" w:cs="Inter" w:eastAsia="Inter" w:hAnsi="Inter"/>
          <w:sz w:val="20"/>
          <w:szCs w:val="20"/>
        </w:rPr>
        <w:t xml:space="preserve">Verify export completeness against the inventory: [sampling method].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Inter" w:cs="Inter" w:eastAsia="Inter" w:hAnsi="Inter"/>
          <w:sz w:val="20"/>
          <w:szCs w:val="20"/>
        </w:rPr>
        <w:t xml:space="preserve">Obtain certified deletion (including backups and any data retained for "model improvement") with a named officer’s attestation, by [date]. Cite [contract clause / DPA clause].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Inter" w:cs="Inter" w:eastAsia="Inter" w:hAnsi="Inter"/>
          <w:sz w:val="20"/>
          <w:szCs w:val="20"/>
        </w:rPr>
        <w:t xml:space="preserve">Confirm deletion scope covers sub-processors. Request the current sub-processor list and attestations.</w:t>
      </w:r>
    </w:p>
    <w:p>
      <w:pPr>
        <w:spacing w:after="200"/>
      </w:pPr>
    </w:p>
    <w:p>
      <w:pPr>
        <w:pStyle w:val="Heading1"/>
        <w:spacing w:after="120" w:before="240"/>
      </w:pPr>
      <w:r>
        <w:rPr>
          <w:rFonts w:ascii="Inter" w:cs="Inter" w:eastAsia="Inter" w:hAnsi="Inter"/>
          <w:b/>
          <w:bCs/>
          <w:color w:val="5B21B6"/>
          <w:sz w:val="28"/>
          <w:szCs w:val="28"/>
        </w:rPr>
        <w:t xml:space="preserve">5. Transition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rPr>
          <w:tblHeader/>
        </w:trPr>
        <w:tc>
          <w:tcPr>
            <w:shd w:fill="5B21B6" w:color="5B21B6" w:val="solid"/>
          </w:tcPr>
          <w:p>
            <w:pPr>
              <w:spacing w:after="40" w:before="40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Option</w:t>
            </w:r>
          </w:p>
        </w:tc>
        <w:tc>
          <w:tcPr>
            <w:shd w:fill="5B21B6" w:color="5B21B6" w:val="solid"/>
          </w:tcPr>
          <w:p>
            <w:pPr>
              <w:spacing w:after="40" w:before="40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Selected?</w:t>
            </w:r>
          </w:p>
        </w:tc>
        <w:tc>
          <w:tcPr>
            <w:shd w:fill="5B21B6" w:color="5B21B6" w:val="solid"/>
          </w:tcPr>
          <w:p>
            <w:pPr>
              <w:spacing w:after="40" w:before="40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Notes</w:t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Replace with vendor [B]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[migration of prompts/configs; re-run evaluation suite on new model]</w:t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Bring in-house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[infrastructure, skills, license check on any model artifacts]</w:t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Decommission (process reverts to manual)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[capacity plan for the manual path]</w:t>
            </w:r>
          </w:p>
        </w:tc>
      </w:tr>
    </w:tbl>
    <w:p>
      <w:pPr>
        <w:pStyle w:val="ListParagraph"/>
        <w:numPr>
          <w:ilvl w:val="0"/>
          <w:numId w:val="1"/>
        </w:numPr>
        <w:spacing w:after="60"/>
      </w:pPr>
      <w:r>
        <w:rPr>
          <w:rFonts w:ascii="Inter" w:cs="Inter" w:eastAsia="Inter" w:hAnsi="Inter"/>
          <w:sz w:val="20"/>
          <w:szCs w:val="20"/>
        </w:rPr>
        <w:t xml:space="preserve">Parallel run: operate old and new for [period]; compare outputs on [sample]; acceptance criteria: [metrics matching the model card thresholds].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Inter" w:cs="Inter" w:eastAsia="Inter" w:hAnsi="Inter"/>
          <w:sz w:val="20"/>
          <w:szCs w:val="20"/>
        </w:rPr>
        <w:t xml:space="preserve">Re-run the AI Impact Assessment if the replacement model materially differs in behavior, data handling, or provider jurisdiction.</w:t>
      </w:r>
    </w:p>
    <w:p>
      <w:pPr>
        <w:spacing w:after="200"/>
      </w:pPr>
    </w:p>
    <w:p>
      <w:pPr>
        <w:pStyle w:val="Heading1"/>
        <w:spacing w:after="120" w:before="240"/>
      </w:pPr>
      <w:r>
        <w:rPr>
          <w:rFonts w:ascii="Inter" w:cs="Inter" w:eastAsia="Inter" w:hAnsi="Inter"/>
          <w:b/>
          <w:bCs/>
          <w:color w:val="5B21B6"/>
          <w:sz w:val="28"/>
          <w:szCs w:val="28"/>
        </w:rPr>
        <w:t xml:space="preserve">6. Access and Integration Teardown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Inter" w:cs="Inter" w:eastAsia="Inter" w:hAnsi="Inter"/>
          <w:sz w:val="20"/>
          <w:szCs w:val="20"/>
        </w:rPr>
        <w:t xml:space="preserve">Revoke API keys, OAuth grants, SSO entitlements, and network allowlists by [date]; verify with [evidence].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Inter" w:cs="Inter" w:eastAsia="Inter" w:hAnsi="Inter"/>
          <w:sz w:val="20"/>
          <w:szCs w:val="20"/>
        </w:rPr>
        <w:t xml:space="preserve">Remove vendor SDKs/webhooks from codebases; archive integration code.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Inter" w:cs="Inter" w:eastAsia="Inter" w:hAnsi="Inter"/>
          <w:sz w:val="20"/>
          <w:szCs w:val="20"/>
        </w:rPr>
        <w:t xml:space="preserve">Update the AI Inventory (status → Retired) and the risk register (close or re-point third-party risks).</w:t>
      </w:r>
    </w:p>
    <w:p>
      <w:pPr>
        <w:spacing w:after="200"/>
      </w:pPr>
    </w:p>
    <w:p>
      <w:pPr>
        <w:pStyle w:val="Heading1"/>
        <w:spacing w:after="120" w:before="240"/>
      </w:pPr>
      <w:r>
        <w:rPr>
          <w:rFonts w:ascii="Inter" w:cs="Inter" w:eastAsia="Inter" w:hAnsi="Inter"/>
          <w:b/>
          <w:bCs/>
          <w:color w:val="5B21B6"/>
          <w:sz w:val="28"/>
          <w:szCs w:val="28"/>
        </w:rPr>
        <w:t xml:space="preserve">7. Communications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</w:tblGrid>
      <w:tr>
        <w:trPr>
          <w:tblHeader/>
        </w:trPr>
        <w:tc>
          <w:tcPr>
            <w:shd w:fill="5B21B6" w:color="5B21B6" w:val="solid"/>
          </w:tcPr>
          <w:p>
            <w:pPr>
              <w:spacing w:after="40" w:before="40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Audience</w:t>
            </w:r>
          </w:p>
        </w:tc>
        <w:tc>
          <w:tcPr>
            <w:shd w:fill="5B21B6" w:color="5B21B6" w:val="solid"/>
          </w:tcPr>
          <w:p>
            <w:pPr>
              <w:spacing w:after="40" w:before="40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Message</w:t>
            </w:r>
          </w:p>
        </w:tc>
        <w:tc>
          <w:tcPr>
            <w:shd w:fill="5B21B6" w:color="5B21B6" w:val="solid"/>
          </w:tcPr>
          <w:p>
            <w:pPr>
              <w:spacing w:after="40" w:before="40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When</w:t>
            </w:r>
          </w:p>
        </w:tc>
        <w:tc>
          <w:tcPr>
            <w:shd w:fill="5B21B6" w:color="5B21B6" w:val="solid"/>
          </w:tcPr>
          <w:p>
            <w:pPr>
              <w:spacing w:after="40" w:before="40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Owner</w:t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Affected staff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[what changes, fallback process]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[date]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Customers (if user-facing)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[service change notice]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[date]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Regulator (if notifiable)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[per obligations]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[date]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[Legal]</w:t>
            </w:r>
          </w:p>
        </w:tc>
      </w:tr>
    </w:tbl>
    <w:p>
      <w:pPr>
        <w:spacing w:after="200"/>
      </w:pPr>
    </w:p>
    <w:p>
      <w:pPr>
        <w:pStyle w:val="Heading1"/>
        <w:spacing w:after="120" w:before="240"/>
      </w:pPr>
      <w:r>
        <w:rPr>
          <w:rFonts w:ascii="Inter" w:cs="Inter" w:eastAsia="Inter" w:hAnsi="Inter"/>
          <w:b/>
          <w:bCs/>
          <w:color w:val="5B21B6"/>
          <w:sz w:val="28"/>
          <w:szCs w:val="28"/>
        </w:rPr>
        <w:t xml:space="preserve">8. Closure and Lessons</w:t>
      </w:r>
    </w:p>
    <w:p>
      <w:pPr>
        <w:spacing w:after="80"/>
      </w:pPr>
      <w:r>
        <w:rPr>
          <w:rFonts w:ascii="Inter" w:cs="Inter" w:eastAsia="Inter" w:hAnsi="Inter"/>
          <w:b w:val="false"/>
          <w:bCs w:val="false"/>
          <w:sz w:val="20"/>
          <w:szCs w:val="20"/>
        </w:rPr>
        <w:t xml:space="preserve">Exit is complete when: data returned and deletion certified; access torn down; transition acceptance criteria met; inventory and register updated. Hold a lessons-learned review and feed contract findings (e.g., portability gaps) back into the vendor assessment questionnaire for future procurements.</w:t>
      </w:r>
    </w:p>
    <w:p>
      <w:pPr>
        <w:spacing w:after="80"/>
      </w:pPr>
      <w:r>
        <w:rPr>
          <w:rFonts w:ascii="Inter" w:cs="Inter" w:eastAsia="Inter" w:hAnsi="Inter"/>
          <w:i/>
          <w:iCs/>
          <w:color w:val="4B5563"/>
          <w:sz w:val="20"/>
          <w:szCs w:val="20"/>
        </w:rPr>
        <w:t xml:space="preserve">Alignment: ISO/IEC 42001 Annex A.10 (third parties); pairs with the Vendor Assessment module on this site.</w:t>
      </w:r>
    </w:p>
    <w:sectPr>
      <w:headerReference w:type="default" r:id="rId7"/>
      <w:footerReference w:type="default" r:id="rId8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r>
      <w:rPr>
        <w:rFonts w:ascii="Inter" w:cs="Inter" w:eastAsia="Inter" w:hAnsi="Inter"/>
        <w:color w:val="6B7280"/>
        <w:sz w:val="16"/>
        <w:szCs w:val="16"/>
      </w:rPr>
      <w:t xml:space="preserve">AI Governance Toolkit · AI Vendor Termination / Transition Plan · CC-BY 4.0 · emmanuelgjr.github.io/AI-Governance-Toolkit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r>
      <w:rPr>
        <w:rFonts w:ascii="Inter" w:cs="Inter" w:eastAsia="Inter" w:hAnsi="Inter"/>
        <w:b/>
        <w:bCs/>
        <w:color w:val="5B21B6"/>
        <w:sz w:val="16"/>
        <w:szCs w:val="16"/>
      </w:rPr>
      <w:t xml:space="preserve">AI GOVERNANCE TOOLKIT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2026-06-10T03:08:50.886Z</dcterms:created>
  <dcterms:modified xsi:type="dcterms:W3CDTF">2026-06-10T03:08:50.886Z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