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Inter" w:cs="Inter" w:eastAsia="Inter" w:hAnsi="Inter"/>
          <w:b/>
          <w:bCs/>
          <w:color w:val="5B21B6"/>
          <w:sz w:val="40"/>
          <w:szCs w:val="40"/>
        </w:rPr>
        <w:t xml:space="preserve">Quarterly AI Governance Report</w:t>
      </w:r>
    </w:p>
    <w:p>
      <w:pPr>
        <w:spacing w:after="120"/>
        <w:jc w:val="center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[ORGANIZATION NAME] — Q[X] [YYYY]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1. Document Control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Document Title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Quarterly AI Governance Report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Version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[1.0]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Owner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[ROLE / NAME]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Classification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[INTERNAL / CONFIDENTIAL]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Next Review 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 — at most 12 months out]</w:t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Approvals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Signature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Accountable Executive for AI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AI Risk Officer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2. Executive Summary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[FIVE SENTENCES MAXIMUM: program health, the one number that moved most, the most important risk, the most important decision needed. Write this last.]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3. AI Inventory Movement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Metric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Last quarter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This quarter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Direction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Total systems in inventory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In production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High-risk / EU AI Act high-risk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New this quarter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[list in appendix]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Retired this quarter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Systems past review 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[target: 0]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4. Risk Register Movement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Metric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Last quarter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This quarter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Open risks (total / above appetite)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New risks raised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Risks closed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Treatments past due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Top risks this quarter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Risk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Residual score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Treatment status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[title]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[title]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[title]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5. Impact Assessments and Intake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Metric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This quarter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Intake requests received / approved / rejected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AIIAs completed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High-risk systems lacking a current AIIA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[target: 0]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6. Incidents and Near-Misses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Type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Severity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Key lesson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[IF ZERO INCIDENTS WERE REPORTED, SAY WHETHER YOU BELIEVE THAT — a quarter with no AI near-misses usually means under-reporting, not perfection.]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7. Third Parties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Metric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This quarter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Vendor assessments completed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Vendors with critical red flags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Vendor incidents / material changes (e.g., silent model swaps)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8. Training and Awareness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Metric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This quarter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% workforce current on AI AUP training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Role-based training for reviewers/operators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9. Regulatory Horizon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[CHANGE + WHAT IT MEANS FOR US + ACTION — e.g., new EU AI Act guidance, sectoral expectations]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10. Decisions Requested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Decision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Options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Recommendation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11. Next Quarter Priorities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[Priority 1 — owner — measurable outcome]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[Priority 2]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[Priority 3]</w:t>
      </w:r>
    </w:p>
    <w:p>
      <w:pPr>
        <w:spacing w:after="80"/>
      </w:pPr>
      <w:r>
        <w:rPr>
          <w:rFonts w:ascii="Inter" w:cs="Inter" w:eastAsia="Inter" w:hAnsi="Inter"/>
          <w:i/>
          <w:iCs/>
          <w:color w:val="4B5563"/>
          <w:sz w:val="20"/>
          <w:szCs w:val="20"/>
        </w:rPr>
        <w:t xml:space="preserve">Alignment: structured to feed the ISO/IEC 42001 Clause 9.3 management review — inputs map to 9.3.2 (status of actions, changes, performance, opportunities for improvement).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Inter" w:cs="Inter" w:eastAsia="Inter" w:hAnsi="Inter"/>
        <w:color w:val="6B7280"/>
        <w:sz w:val="16"/>
        <w:szCs w:val="16"/>
      </w:rPr>
      <w:t xml:space="preserve">AI Governance Toolkit · Quarterly AI Governance Report · CC-BY 4.0 · emmanuelgjr.github.io/AI-Governance-Toolkit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Inter" w:cs="Inter" w:eastAsia="Inter" w:hAnsi="Inter"/>
        <w:b/>
        <w:bCs/>
        <w:color w:val="5B21B6"/>
        <w:sz w:val="16"/>
        <w:szCs w:val="16"/>
      </w:rPr>
      <w:t xml:space="preserve">AI GOVERNANCE TOOLKIT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2026-06-10T03:08:50.808Z</dcterms:created>
  <dcterms:modified xsi:type="dcterms:W3CDTF">2026-06-10T03:08:50.808Z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