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Inter" w:cs="Inter" w:eastAsia="Inter" w:hAnsi="Inter"/>
          <w:b/>
          <w:bCs/>
          <w:color w:val="9F1239"/>
          <w:sz w:val="40"/>
          <w:szCs w:val="40"/>
        </w:rPr>
        <w:t xml:space="preserve">Rules of Engagement</w:t>
      </w:r>
    </w:p>
    <w:p>
      <w:pPr>
        <w:spacing w:after="120"/>
        <w:jc w:val="center"/>
      </w:pPr>
      <w:r>
        <w:rPr>
          <w:rFonts w:ascii="Inter" w:cs="Inter" w:eastAsia="Inter" w:hAnsi="Inter"/>
          <w:color w:val="4B5563"/>
          <w:sz w:val="24"/>
          <w:szCs w:val="24"/>
        </w:rPr>
        <w:t xml:space="preserve">Master Template</w:t>
      </w:r>
    </w:p>
    <w:p>
      <w:pPr>
        <w:spacing w:after="20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Name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[ENGAGEMENT NAME]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Reference ID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[ENG-YYYY-NNN]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Start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End Date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Classification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[CONFIDENTIAL / INTERNAL / RESTRICTED]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Version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[1.0]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1. Engagement Overview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Field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Value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Engagement Type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[FULL ASSESSMENT / TARGETED / TABLETOP / CONTINUOUS / INITIAL SCREENING]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Target System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[SYSTEM NAME AND VERSION]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Description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[BRIEF DESCRIPTION OF THE AI/ML SYSTEM UNDER TEST]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Deployment Model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[ON-PREMISES / CLOUD / HYBRID / EDGE]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Data Sensitivity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[PUBLIC / INTERNAL / CONFIDENTIAL / RESTRICTED]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Business Criticality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[LOW / MEDIUM / HIGH / CRITICAL]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2. Scope Definition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In-Scope Systems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[SYSTEM/COMPONENT 1 — e.g., LLM API endpoint at https://...]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[SYSTEM/COMPONENT 2 — e.g., Model inference pipeline]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[SYSTEM/COMPONENT 3 — e.g., Training data pipeline]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Out-of-Scope (Hard Limits)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[SYSTEM/COMPONENT — e.g., Production customer-facing endpoints]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[SYSTEM/COMPONENT — e.g., Third-party vendor APIs]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[DATA — e.g., Real customer PII]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Time Window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Testing hours: [e.g., Business hours only / 24x7 / Specific windows]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Blackout dates: [LIST ANY BLACKOUT PERIODS]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Maximum test duration: [HOURS/DAYS]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3. Authorization &amp; Sign-Off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RACI Matrix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Activity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Red Team Lead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Red Team Operator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System Owner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Legal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CISO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Define scope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Execute tests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Escalate findings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Approve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Sign-Off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Signature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Lead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CISO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Legal Counsel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Management Sponsor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[YYYY-MM-DD]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4. Methodology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Selected Attack Patterns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Pattern ID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Name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Category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[ATK-XXX]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[PATTERN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[ATK-XXX]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[PATTERN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[ATK-XXX]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[PATTERN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[HIGH/MEDIUM/LOW]</w:t>
            </w:r>
          </w:p>
        </w:tc>
      </w:tr>
    </w:tbl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Selected Tools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Tool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Purpose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License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[TOOL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[VERSION]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[PURPOSE]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[LICENSE]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[TOOL NAME]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[VERSION]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[PURPOSE]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[LICENSE]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5. Evidence Collection</w:t>
      </w: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Evidence Types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Screenshots and screen recordings of test execution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API request/response logs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Model input/output pairs demonstrating vulnerabilities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Configuration files and environment details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Tool output logs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Evidence Storage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Location: [SECURE REPOSITORY / EVIDENCE VAULT PATH]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Encryption: [AES-256 / GPG / OTHER]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Access control: [LIST AUTHORIZED PERSONNEL]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Retention period: [e.g., 3 YEARS PER POLICY]</w:t>
      </w:r>
    </w:p>
    <w:p>
      <w:pPr>
        <w:spacing w:after="200"/>
      </w:pPr>
    </w:p>
    <w:p>
      <w:pPr>
        <w:spacing w:after="80"/>
      </w:pPr>
      <w:r>
        <w:rPr>
          <w:rFonts w:ascii="Inter" w:cs="Inter" w:eastAsia="Inter" w:hAnsi="Inter"/>
          <w:b/>
          <w:bCs/>
          <w:sz w:val="20"/>
          <w:szCs w:val="20"/>
        </w:rPr>
        <w:t xml:space="preserve">Chain of Custody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All evidence is timestamped and hash-verified at collection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Evidence transfers are logged with sender, recipient, and purpose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Inter" w:cs="Inter" w:eastAsia="Inter" w:hAnsi="Inter"/>
          <w:sz w:val="20"/>
          <w:szCs w:val="20"/>
        </w:rPr>
        <w:t xml:space="preserve">Evidence destruction follows organizational retention policy</w:t>
      </w:r>
    </w:p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6. Deliverables &amp; Reporting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Deliverable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Format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Due Date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Distribution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Daily Standup Note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Markdown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Daily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internal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Mid-engagement Check-in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Meeting + brief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System owner, CISO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Draft Findings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DOCX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Red team lead review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Final Findings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DOCX/PDF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[DISTRIBUTION LIST]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Executive Summary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DOCX/PDF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Management sponsor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Exit Briefing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DOCX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All stakeholders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7. Escalation Procedures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Severity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Response Time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Notification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Contact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Critical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Immediate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Phone + email to CISO, system owner, sponsor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[CONTACT DETAILS]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High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&lt; 24 hours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Email to CISO and system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[CONTACT DETAILS]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Medium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&lt; 48 hours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Email to system owner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[CONTACT DETAILS]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Low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Next status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Included in engagement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N/A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Informational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End of engagement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Included in engagement report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N/A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8. Compliance Traceability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Framework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How Addressed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ISO/IEC 42001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[CLAUSE REFERENCE]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NIST AI RMF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[FUNCTION.CATEGORY]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EU AI Act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[ARTICLE REFERENCE]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OWASP AI Security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[TOP 10 ITEM]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[OTHER FRAMEWORK]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[REFERENCE]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[DESCRIPTION]</w:t>
            </w:r>
          </w:p>
        </w:tc>
      </w:tr>
    </w:tbl>
    <w:p>
      <w:pPr>
        <w:spacing w:after="200"/>
      </w:pPr>
    </w:p>
    <w:p>
      <w:pPr>
        <w:pStyle w:val="Heading1"/>
        <w:spacing w:after="120" w:before="240"/>
      </w:pPr>
      <w:r>
        <w:rPr>
          <w:rFonts w:ascii="Inter" w:cs="Inter" w:eastAsia="Inter" w:hAnsi="Inter"/>
          <w:b/>
          <w:bCs/>
          <w:color w:val="9F1239"/>
          <w:sz w:val="28"/>
          <w:szCs w:val="28"/>
        </w:rPr>
        <w:t xml:space="preserve">9. Success Metrics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Metric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Target</w:t>
            </w:r>
          </w:p>
        </w:tc>
        <w:tc>
          <w:tcPr>
            <w:shd w:fill="9F1239" w:color="9F1239" w:val="solid"/>
          </w:tcPr>
          <w:p>
            <w:pPr>
              <w:spacing w:after="40" w:before="40"/>
            </w:pPr>
            <w:r>
              <w:rPr>
                <w:rFonts w:ascii="Inter" w:cs="Inter" w:eastAsia="Inter" w:hAnsi="Inter"/>
                <w:b/>
                <w:bCs/>
                <w:color w:val="FFFFFF"/>
                <w:sz w:val="20"/>
                <w:szCs w:val="20"/>
              </w:rPr>
              <w:t xml:space="preserve">Measurement Method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Findings identified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Count of validated findings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Critical/High findings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Count by severity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Attack patterns tested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[NUMBER / PERCENTAGE]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Coverage against selected patterns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Time to remediate (critical)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[DAYS]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Days from report to verified fix</w:t>
            </w:r>
          </w:p>
        </w:tc>
      </w:tr>
      <w:tr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Scope coverage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[PERCENTAGE]</w:t>
            </w:r>
          </w:p>
        </w:tc>
        <w:tc>
          <w:p>
            <w:pPr>
              <w:spacing w:after="40" w:before="40"/>
            </w:pPr>
            <w:r>
              <w:rPr>
                <w:rFonts w:ascii="Inter" w:cs="Inter" w:eastAsia="Inter" w:hAnsi="Inter"/>
                <w:b w:val="false"/>
                <w:bCs w:val="false"/>
                <w:sz w:val="20"/>
                <w:szCs w:val="20"/>
              </w:rPr>
              <w:t xml:space="preserve">Percentage of in-scope systems tested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r>
      <w:rPr>
        <w:rFonts w:ascii="Inter" w:cs="Inter" w:eastAsia="Inter" w:hAnsi="Inter"/>
        <w:color w:val="6B7280"/>
        <w:sz w:val="16"/>
        <w:szCs w:val="16"/>
      </w:rPr>
      <w:t xml:space="preserve">AI Red Team Framework · Rules of Engagement — Master Template · CC-BY 4.0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rPr>
        <w:rFonts w:ascii="Inter" w:cs="Inter" w:eastAsia="Inter" w:hAnsi="Inter"/>
        <w:b/>
        <w:bCs/>
        <w:color w:val="9F1239"/>
        <w:sz w:val="16"/>
        <w:szCs w:val="16"/>
      </w:rPr>
      <w:t xml:space="preserve">AI RED TEAM FRAMEWORK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2026-05-26T02:23:23.518Z</dcterms:created>
  <dcterms:modified xsi:type="dcterms:W3CDTF">2026-05-26T02:23:23.518Z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