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rFonts w:ascii="Calibri" w:cs="Calibri" w:eastAsia="Calibri" w:hAnsi="Calibri"/>
          <w:b/>
          <w:bCs/>
          <w:color w:val="B45309"/>
          <w:sz w:val="20"/>
          <w:szCs w:val="20"/>
        </w:rPr>
        <w:t xml:space="preserve">AI GOVERNANCE PROGRAM</w:t>
      </w:r>
    </w:p>
    <w:p>
      <w:pPr>
        <w:pStyle w:val="Heading1"/>
        <w:spacing w:after="200" w:before="240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Quarterly Shadow AI Program Update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Date: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[DATE]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From: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[AI GOVERNANCE PROGRAM LEAD]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4a4a4a"/>
          <w:sz w:val="22"/>
          <w:szCs w:val="22"/>
        </w:rPr>
        <w:t xml:space="preserve">To: </w:t>
      </w:r>
      <w:r>
        <w:rPr>
          <w:rFonts w:ascii="Calibri" w:cs="Calibri" w:eastAsia="Calibri" w:hAnsi="Calibri"/>
          <w:color w:val="4a4a4a"/>
          <w:sz w:val="22"/>
          <w:szCs w:val="22"/>
        </w:rPr>
        <w:t xml:space="preserve">[AI GOVERNANCE COMMITTEE / RISK COMMITTEE / CISO]</w:t>
      </w:r>
    </w:p>
    <w:p>
      <w:pPr>
        <w:pBdr>
          <w:bottom w:val="single" w:color="B45309" w:sz="6"/>
        </w:pBdr>
        <w:spacing w:after="240"/>
      </w:pP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Dear committee members,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Please find below the quarterly update on the Shadow AI Detection and Response Program for [QUARTER] [YEAR]. This report summarizes detection activity, response outcomes, and program maturity progress.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Executive Summary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[2-3 SENTENCE SUMMARY OF KEY FINDINGS AND TRENDS FOR THE QUARTER]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Detection Metrics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Total alerts generated: [COUNT]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Unique users detected: [COUNT] ([PERCENTAGE] of workforce)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AI services detected: [COUNT] unique services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Top 5 services by usage: [LIST]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Alerts by severity: High: [COUNT] / Medium: [COUNT] / Low: [COUNT] / Informational: [COUNT]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Response Metrics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Cases opened: [COUNT]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Cases closed: [COUNT]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Mean time to triage (High severity): [HOURS] (target: 1 hour)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Mean time to user notification: [DAYS] (target: 5 business days)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Repeat offender rate: [PERCENTAGE] (target: &lt; 10%)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Conversion to approved-pilot enrollment: [PERCENTAGE] (target: &gt; 30%)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Data-Loss Prevention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DLP events related to AI services: [COUNT]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Confirmed sensitive-data egress incidents (RB-002): [COUNT]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Data classifications involved: [LIST]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Regulatory notifications required: [COUNT]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Program Maturity Progress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Detection rules deployed: [COUNT] of [TOTAL AVAILABLE] ([PERCENTAGE])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Stack coverage: [DESCRIPTION OF DEPLOYED STACK]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Approved AI tools available: [COUNT]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Employees trained on AI AUP: [COUNT] ([PERCENTAGE] of workforce)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Vendor AI disclosure clauses in contracts: [COUNT] ([PERCENTAGE] of critical vendors)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Trends and Observations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[TREND 1: e.g., Shift from ChatGPT to code-assistant tools among engineering teams]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[TREND 2: e.g., Increasing use of AI browser extensions, especially in marketing]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[TREND 3: e.g., Declining repeat-offender rate following updated comms]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Recommendations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[RECOMMENDATION 1: e.g., Fast-track sanctioning of [TOOL] based on demand signals]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[RECOMMENDATION 2: e.g., Expand DLP coverage to [AREA]]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[RECOMMENDATION 3: e.g., Update AUP section [X] to address [GAP]]</w:t>
      </w:r>
    </w:p>
    <w:p>
      <w:pPr>
        <w:pStyle w:val="Heading2"/>
        <w:spacing w:after="120" w:before="280"/>
      </w:pPr>
      <w:r>
        <w:rPr>
          <w:rFonts w:ascii="Calibri" w:cs="Calibri" w:eastAsia="Calibri" w:hAnsi="Calibri"/>
          <w:b/>
          <w:bCs/>
          <w:color w:val="1a1a1a"/>
          <w:sz w:val="26"/>
          <w:szCs w:val="26"/>
        </w:rPr>
        <w:t xml:space="preserve">Next Quarter Priorities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[PRIORITY 1]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[PRIORITY 2]</w:t>
      </w:r>
    </w:p>
    <w:p>
      <w:pPr>
        <w:spacing w:after="80"/>
        <w:ind w:left="360"/>
      </w:pPr>
      <w:r>
        <w:rPr>
          <w:rFonts w:ascii="Calibri" w:cs="Calibri" w:eastAsia="Calibri" w:hAnsi="Calibri"/>
          <w:color w:val="4a4a4a"/>
          <w:sz w:val="22"/>
          <w:szCs w:val="22"/>
        </w:rPr>
        <w:t xml:space="preserve">•  </w:t>
      </w:r>
      <w:r>
        <w:rPr>
          <w:rFonts w:ascii="Calibri" w:cs="Calibri" w:eastAsia="Calibri" w:hAnsi="Calibri"/>
          <w:color w:val="1a1a1a"/>
          <w:sz w:val="22"/>
          <w:szCs w:val="22"/>
        </w:rPr>
        <w:t xml:space="preserve">[PRIORITY 3]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The full dataset underlying this report is available in [DASHBOARD / REPORT LOCATION]. Please direct questions to [AI GOVERNANCE TEAM EMAIL].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Regards,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[AI GOVERNANCE PROGRAM LEAD]</w:t>
      </w:r>
    </w:p>
    <w:p>
      <w:pPr>
        <w:spacing w:after="1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[TITLE]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i/>
        <w:iCs/>
        <w:color w:val="8a8a8a"/>
        <w:sz w:val="16"/>
        <w:szCs w:val="16"/>
      </w:rPr>
      <w:t xml:space="preserve">Shadow AI Defense · Quarterly Program Update · CC-BY 4.0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 Guilherme Jr.</dc:creator>
  <dc:description>Shadow AI Defense — Quarterly Shadow AI Program Update</dc:description>
  <cp:lastModifiedBy>Un-named</cp:lastModifiedBy>
  <cp:revision>1</cp:revision>
  <dcterms:created xsi:type="dcterms:W3CDTF">2026-05-27T00:41:43.640Z</dcterms:created>
  <dcterms:modified xsi:type="dcterms:W3CDTF">2026-05-27T00:41:43.640Z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